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B3773" w14:textId="77777777" w:rsidR="00A72FA6" w:rsidRDefault="00A72FA6" w:rsidP="00A72FA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2FA6">
        <w:rPr>
          <w:rFonts w:ascii="Arial" w:hAnsi="Arial" w:cs="Arial"/>
          <w:b/>
          <w:sz w:val="24"/>
          <w:szCs w:val="24"/>
        </w:rPr>
        <w:t>Make a representation about a gambling premises licence application</w:t>
      </w:r>
    </w:p>
    <w:p w14:paraId="4E2B0B39" w14:textId="77777777" w:rsidR="00A72FA6" w:rsidRPr="00A72FA6" w:rsidRDefault="00A72FA6" w:rsidP="00A72FA6">
      <w:p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 xml:space="preserve">The Gambling Act 2005 requires that 'responsible authorities' such as the police, the gambling commission and others are notified of every application for a new gambling premises licence or variation of an existing premises licence. </w:t>
      </w:r>
    </w:p>
    <w:p w14:paraId="645A5861" w14:textId="77777777" w:rsidR="00A72FA6" w:rsidRPr="003901CF" w:rsidRDefault="00A72FA6" w:rsidP="003E77A4">
      <w:pPr>
        <w:ind w:left="720"/>
        <w:rPr>
          <w:rFonts w:ascii="Arial" w:hAnsi="Arial" w:cs="Arial"/>
          <w:i/>
          <w:sz w:val="24"/>
          <w:szCs w:val="24"/>
        </w:rPr>
      </w:pPr>
      <w:r w:rsidRPr="003901CF">
        <w:rPr>
          <w:rFonts w:ascii="Arial" w:hAnsi="Arial" w:cs="Arial"/>
          <w:i/>
          <w:sz w:val="24"/>
          <w:szCs w:val="24"/>
        </w:rPr>
        <w:t>List of RA contacts for all 3 LA’s attached.</w:t>
      </w:r>
    </w:p>
    <w:p w14:paraId="78FD76CC" w14:textId="77777777" w:rsidR="00A72FA6" w:rsidRPr="00A72FA6" w:rsidRDefault="00A72FA6" w:rsidP="00A72FA6">
      <w:p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An applicant is also obliged to advertise their application in a local paper and place a notice outside the premises for 28 days.</w:t>
      </w:r>
    </w:p>
    <w:p w14:paraId="2EC37017" w14:textId="77777777" w:rsidR="00A72FA6" w:rsidRPr="00A72FA6" w:rsidRDefault="00A72FA6" w:rsidP="00A72FA6">
      <w:p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 xml:space="preserve">A responsible authority or interested party can make a representation about a gambling premises licence application.  </w:t>
      </w:r>
    </w:p>
    <w:p w14:paraId="1AAFDF20" w14:textId="77777777" w:rsidR="00A72FA6" w:rsidRPr="00A72FA6" w:rsidRDefault="00A72FA6" w:rsidP="00A72FA6">
      <w:p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Interested parties are defined as a person who:</w:t>
      </w:r>
    </w:p>
    <w:p w14:paraId="680F8E03" w14:textId="16BF2BF4" w:rsidR="00A72FA6" w:rsidRPr="00A72FA6" w:rsidRDefault="00A72FA6" w:rsidP="00A72F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lives sufficiently close to the premises to be likely to be affected by the authorised activities</w:t>
      </w:r>
    </w:p>
    <w:p w14:paraId="37C7FC8E" w14:textId="04FCAB85" w:rsidR="00A72FA6" w:rsidRPr="00A72FA6" w:rsidRDefault="00A72FA6" w:rsidP="00A72F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has business interests that might be affected by the authorised activities</w:t>
      </w:r>
    </w:p>
    <w:p w14:paraId="0E30A9E8" w14:textId="3F73121E" w:rsidR="00A72FA6" w:rsidRPr="00A72FA6" w:rsidRDefault="00A72FA6" w:rsidP="00A72F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represents persons who satisfy paragraph (a) or (b)</w:t>
      </w:r>
    </w:p>
    <w:p w14:paraId="2585576C" w14:textId="1C01D44B" w:rsidR="00F87EF0" w:rsidRDefault="002439F0" w:rsidP="00A72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Representation</w:t>
      </w:r>
      <w:r w:rsidR="00A72FA6" w:rsidRPr="00A72FA6">
        <w:rPr>
          <w:rFonts w:ascii="Arial" w:hAnsi="Arial" w:cs="Arial"/>
          <w:sz w:val="24"/>
          <w:szCs w:val="24"/>
        </w:rPr>
        <w:t xml:space="preserve"> must be relevant </w:t>
      </w:r>
      <w:r w:rsidR="00F87EF0">
        <w:rPr>
          <w:rFonts w:ascii="Arial" w:hAnsi="Arial" w:cs="Arial"/>
          <w:sz w:val="24"/>
          <w:szCs w:val="24"/>
        </w:rPr>
        <w:t xml:space="preserve">and </w:t>
      </w:r>
      <w:r w:rsidR="00F87EF0" w:rsidRPr="00F87EF0">
        <w:rPr>
          <w:rFonts w:ascii="Arial" w:hAnsi="Arial" w:cs="Arial"/>
          <w:sz w:val="24"/>
          <w:szCs w:val="24"/>
        </w:rPr>
        <w:t xml:space="preserve">may also be considered relevant if they raise issues under the Policy, the </w:t>
      </w:r>
      <w:r w:rsidR="00F87EF0" w:rsidRPr="00194735">
        <w:rPr>
          <w:rFonts w:ascii="Arial" w:hAnsi="Arial" w:cs="Arial"/>
          <w:sz w:val="24"/>
          <w:szCs w:val="24"/>
        </w:rPr>
        <w:t>Gambling Commission’s guidance or</w:t>
      </w:r>
      <w:r w:rsidR="00F87EF0" w:rsidRPr="00F87EF0">
        <w:rPr>
          <w:rFonts w:ascii="Arial" w:hAnsi="Arial" w:cs="Arial"/>
          <w:sz w:val="24"/>
          <w:szCs w:val="24"/>
        </w:rPr>
        <w:t xml:space="preserve"> Codes of Practice</w:t>
      </w:r>
    </w:p>
    <w:p w14:paraId="0D3A03F0" w14:textId="12D55F2A" w:rsidR="00F87EF0" w:rsidRDefault="00F87EF0" w:rsidP="00194735">
      <w:pPr>
        <w:ind w:left="720"/>
        <w:rPr>
          <w:rFonts w:ascii="Arial" w:hAnsi="Arial" w:cs="Arial"/>
          <w:i/>
          <w:sz w:val="24"/>
          <w:szCs w:val="24"/>
        </w:rPr>
      </w:pPr>
      <w:r w:rsidRPr="00194735">
        <w:rPr>
          <w:rFonts w:ascii="Arial" w:hAnsi="Arial" w:cs="Arial"/>
          <w:i/>
          <w:sz w:val="24"/>
          <w:szCs w:val="24"/>
        </w:rPr>
        <w:t xml:space="preserve">Policies for all 3 on gambling </w:t>
      </w:r>
      <w:r w:rsidR="00194735">
        <w:rPr>
          <w:rFonts w:ascii="Arial" w:hAnsi="Arial" w:cs="Arial"/>
          <w:i/>
          <w:sz w:val="24"/>
          <w:szCs w:val="24"/>
        </w:rPr>
        <w:t>premises webpage</w:t>
      </w:r>
    </w:p>
    <w:p w14:paraId="65D90868" w14:textId="417646BF" w:rsidR="00170A4A" w:rsidRPr="00170A4A" w:rsidRDefault="00170A4A" w:rsidP="00170A4A">
      <w:pPr>
        <w:ind w:left="720"/>
        <w:rPr>
          <w:rFonts w:ascii="Arial" w:hAnsi="Arial" w:cs="Arial"/>
          <w:i/>
          <w:sz w:val="24"/>
          <w:szCs w:val="24"/>
        </w:rPr>
      </w:pPr>
      <w:r w:rsidRPr="00170A4A">
        <w:rPr>
          <w:rFonts w:ascii="Arial" w:hAnsi="Arial" w:cs="Arial"/>
          <w:i/>
          <w:sz w:val="24"/>
          <w:szCs w:val="24"/>
        </w:rPr>
        <w:t xml:space="preserve">Codes of practice:  </w:t>
      </w:r>
      <w:hyperlink r:id="rId6" w:history="1">
        <w:r w:rsidRPr="0036159E">
          <w:rPr>
            <w:rStyle w:val="Hyperlink"/>
            <w:rFonts w:ascii="Arial" w:hAnsi="Arial" w:cs="Arial"/>
            <w:i/>
            <w:sz w:val="24"/>
            <w:szCs w:val="24"/>
          </w:rPr>
          <w:t>https://www.gamblingcommission.gov.uk/PDF/LCCP/Licence-conditions-and-codes-of-practice.pdf</w:t>
        </w:r>
      </w:hyperlink>
    </w:p>
    <w:p w14:paraId="52245A51" w14:textId="77777777" w:rsidR="00170A4A" w:rsidRPr="00170A4A" w:rsidRDefault="00170A4A" w:rsidP="00170A4A">
      <w:pPr>
        <w:ind w:left="720"/>
        <w:rPr>
          <w:rFonts w:ascii="Arial" w:hAnsi="Arial" w:cs="Arial"/>
          <w:i/>
          <w:sz w:val="24"/>
          <w:szCs w:val="24"/>
        </w:rPr>
      </w:pPr>
      <w:r w:rsidRPr="00170A4A">
        <w:rPr>
          <w:rFonts w:ascii="Arial" w:hAnsi="Arial" w:cs="Arial"/>
          <w:i/>
          <w:sz w:val="24"/>
          <w:szCs w:val="24"/>
        </w:rPr>
        <w:t xml:space="preserve">Guidance: </w:t>
      </w:r>
      <w:hyperlink r:id="rId7" w:history="1">
        <w:r w:rsidRPr="00170A4A">
          <w:rPr>
            <w:rStyle w:val="Hyperlink"/>
            <w:rFonts w:ascii="Arial" w:hAnsi="Arial" w:cs="Arial"/>
            <w:i/>
            <w:sz w:val="24"/>
            <w:szCs w:val="24"/>
          </w:rPr>
          <w:t>http://www.gamblingcommission.gov.uk/PDF/GLA5.pdf</w:t>
        </w:r>
      </w:hyperlink>
    </w:p>
    <w:p w14:paraId="34CE3521" w14:textId="77777777" w:rsidR="00170A4A" w:rsidRPr="00170A4A" w:rsidRDefault="00170A4A" w:rsidP="00194735">
      <w:pPr>
        <w:ind w:left="720"/>
        <w:rPr>
          <w:rFonts w:ascii="Arial" w:hAnsi="Arial" w:cs="Arial"/>
          <w:sz w:val="24"/>
          <w:szCs w:val="24"/>
        </w:rPr>
      </w:pPr>
    </w:p>
    <w:p w14:paraId="7CF8B3D5" w14:textId="15F0E987" w:rsidR="002439F0" w:rsidRPr="00A72FA6" w:rsidRDefault="002439F0" w:rsidP="00A72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Pr="002439F0">
        <w:rPr>
          <w:rFonts w:ascii="Arial" w:hAnsi="Arial" w:cs="Arial"/>
          <w:sz w:val="24"/>
          <w:szCs w:val="24"/>
        </w:rPr>
        <w:t>be ‘relevant’ a representation must clearly explain the likely effect of the grant of the premises licence on one or more of the three licensing objectives, which are</w:t>
      </w:r>
      <w:r>
        <w:rPr>
          <w:rFonts w:ascii="Arial" w:hAnsi="Arial" w:cs="Arial"/>
          <w:sz w:val="24"/>
          <w:szCs w:val="24"/>
        </w:rPr>
        <w:t>:</w:t>
      </w:r>
    </w:p>
    <w:p w14:paraId="3076F516" w14:textId="05066248" w:rsidR="00A72FA6" w:rsidRPr="00A72FA6" w:rsidRDefault="00A72FA6" w:rsidP="00A72F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preventing gambling from being a source of crime or disorder, being associated with crime or disorder or being used to support crime</w:t>
      </w:r>
    </w:p>
    <w:p w14:paraId="5EA51A18" w14:textId="2134B739" w:rsidR="00A72FA6" w:rsidRPr="00A72FA6" w:rsidRDefault="00A72FA6" w:rsidP="00A72F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ensuring that gambling is conducted in a fair and open way, and</w:t>
      </w:r>
    </w:p>
    <w:p w14:paraId="7EE6E108" w14:textId="24C87FFD" w:rsidR="00A72FA6" w:rsidRDefault="00A72FA6" w:rsidP="00A72FA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protecting children and other vulnerable persons from being harmed or exploited by gambling</w:t>
      </w:r>
    </w:p>
    <w:p w14:paraId="7FD4BCEC" w14:textId="77777777" w:rsidR="003901CF" w:rsidRDefault="003901CF" w:rsidP="003901C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81128A1" w14:textId="18D0BE1B" w:rsidR="003901CF" w:rsidRPr="008154F8" w:rsidRDefault="00A72FA6" w:rsidP="003E77A4">
      <w:pPr>
        <w:ind w:left="720"/>
        <w:rPr>
          <w:rFonts w:ascii="Arial" w:hAnsi="Arial" w:cs="Arial"/>
          <w:b/>
          <w:sz w:val="24"/>
          <w:szCs w:val="24"/>
        </w:rPr>
      </w:pPr>
      <w:r w:rsidRPr="003901CF">
        <w:rPr>
          <w:rFonts w:ascii="Arial" w:hAnsi="Arial" w:cs="Arial"/>
          <w:i/>
          <w:sz w:val="24"/>
          <w:szCs w:val="24"/>
        </w:rPr>
        <w:t>Link</w:t>
      </w:r>
      <w:r w:rsidR="008154F8" w:rsidRPr="003901CF">
        <w:rPr>
          <w:rFonts w:ascii="Arial" w:hAnsi="Arial" w:cs="Arial"/>
          <w:i/>
          <w:sz w:val="24"/>
          <w:szCs w:val="24"/>
        </w:rPr>
        <w:t>(s)</w:t>
      </w:r>
      <w:r w:rsidRPr="003901CF">
        <w:rPr>
          <w:rFonts w:ascii="Arial" w:hAnsi="Arial" w:cs="Arial"/>
          <w:i/>
          <w:sz w:val="24"/>
          <w:szCs w:val="24"/>
        </w:rPr>
        <w:t xml:space="preserve"> to view details of gambling premises licence applications</w:t>
      </w:r>
      <w:r w:rsidR="002439F0" w:rsidRPr="003901CF">
        <w:rPr>
          <w:rFonts w:ascii="Arial" w:hAnsi="Arial" w:cs="Arial"/>
          <w:i/>
          <w:sz w:val="24"/>
          <w:szCs w:val="24"/>
        </w:rPr>
        <w:t xml:space="preserve"> currently in </w:t>
      </w:r>
      <w:r w:rsidR="008154F8" w:rsidRPr="003901CF">
        <w:rPr>
          <w:rFonts w:ascii="Arial" w:hAnsi="Arial" w:cs="Arial"/>
          <w:i/>
          <w:sz w:val="24"/>
          <w:szCs w:val="24"/>
        </w:rPr>
        <w:t>consultation</w:t>
      </w:r>
      <w:r w:rsidR="002439F0" w:rsidRPr="003901CF">
        <w:rPr>
          <w:rFonts w:ascii="Arial" w:hAnsi="Arial" w:cs="Arial"/>
          <w:i/>
          <w:sz w:val="24"/>
          <w:szCs w:val="24"/>
        </w:rPr>
        <w:t>:</w:t>
      </w:r>
    </w:p>
    <w:p w14:paraId="2E1C90CF" w14:textId="15F79E7C" w:rsidR="00A72FA6" w:rsidRDefault="00A72FA6" w:rsidP="00A72FA6">
      <w:pPr>
        <w:rPr>
          <w:rFonts w:ascii="Arial" w:hAnsi="Arial" w:cs="Arial"/>
          <w:b/>
          <w:sz w:val="24"/>
          <w:szCs w:val="24"/>
        </w:rPr>
      </w:pPr>
      <w:r w:rsidRPr="00A72FA6">
        <w:rPr>
          <w:rFonts w:ascii="Arial" w:hAnsi="Arial" w:cs="Arial"/>
          <w:b/>
          <w:sz w:val="24"/>
          <w:szCs w:val="24"/>
        </w:rPr>
        <w:t xml:space="preserve">How to make a </w:t>
      </w:r>
      <w:r w:rsidR="008154F8">
        <w:rPr>
          <w:rFonts w:ascii="Arial" w:hAnsi="Arial" w:cs="Arial"/>
          <w:b/>
          <w:sz w:val="24"/>
          <w:szCs w:val="24"/>
        </w:rPr>
        <w:t>representation or an objection</w:t>
      </w:r>
    </w:p>
    <w:p w14:paraId="37F519E3" w14:textId="45AEC436" w:rsidR="00A72FA6" w:rsidRPr="00A72FA6" w:rsidRDefault="003901CF" w:rsidP="00A72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72FA6" w:rsidRPr="00A72FA6">
        <w:rPr>
          <w:rFonts w:ascii="Arial" w:hAnsi="Arial" w:cs="Arial"/>
          <w:sz w:val="24"/>
          <w:szCs w:val="24"/>
        </w:rPr>
        <w:t xml:space="preserve">epresentations must be </w:t>
      </w:r>
      <w:r w:rsidR="00F87EF0">
        <w:rPr>
          <w:rFonts w:ascii="Arial" w:hAnsi="Arial" w:cs="Arial"/>
          <w:sz w:val="24"/>
          <w:szCs w:val="24"/>
        </w:rPr>
        <w:t>submitted</w:t>
      </w:r>
      <w:r w:rsidR="00A72FA6" w:rsidRPr="00A72FA6">
        <w:rPr>
          <w:rFonts w:ascii="Arial" w:hAnsi="Arial" w:cs="Arial"/>
          <w:sz w:val="24"/>
          <w:szCs w:val="24"/>
        </w:rPr>
        <w:t xml:space="preserve"> writing </w:t>
      </w:r>
      <w:r w:rsidR="00F87EF0">
        <w:rPr>
          <w:rFonts w:ascii="Arial" w:hAnsi="Arial" w:cs="Arial"/>
          <w:sz w:val="24"/>
          <w:szCs w:val="24"/>
        </w:rPr>
        <w:t xml:space="preserve">and can be emailed </w:t>
      </w:r>
      <w:r w:rsidR="00A72FA6" w:rsidRPr="00A72FA6">
        <w:rPr>
          <w:rFonts w:ascii="Arial" w:hAnsi="Arial" w:cs="Arial"/>
          <w:sz w:val="24"/>
          <w:szCs w:val="24"/>
        </w:rPr>
        <w:t xml:space="preserve">to the relevant licensing authority within the 28 day consultation period stated on the public notice at the premises and in the advert in the local paper. </w:t>
      </w:r>
    </w:p>
    <w:p w14:paraId="70D2E55A" w14:textId="77777777" w:rsidR="00F87EF0" w:rsidRDefault="00F87EF0" w:rsidP="00A72FA6">
      <w:pPr>
        <w:rPr>
          <w:rFonts w:ascii="Arial" w:hAnsi="Arial" w:cs="Arial"/>
          <w:sz w:val="24"/>
          <w:szCs w:val="24"/>
          <w:u w:val="single"/>
        </w:rPr>
      </w:pPr>
    </w:p>
    <w:p w14:paraId="50EEE2D2" w14:textId="25508AF2" w:rsidR="00A72FA6" w:rsidRPr="003901CF" w:rsidRDefault="008154F8" w:rsidP="003E77A4">
      <w:pPr>
        <w:ind w:left="720"/>
        <w:rPr>
          <w:rFonts w:ascii="Arial" w:hAnsi="Arial" w:cs="Arial"/>
          <w:i/>
          <w:sz w:val="24"/>
          <w:szCs w:val="24"/>
        </w:rPr>
      </w:pPr>
      <w:r w:rsidRPr="003901CF">
        <w:rPr>
          <w:rFonts w:ascii="Arial" w:hAnsi="Arial" w:cs="Arial"/>
          <w:i/>
          <w:sz w:val="24"/>
          <w:szCs w:val="24"/>
        </w:rPr>
        <w:lastRenderedPageBreak/>
        <w:t xml:space="preserve">Link to </w:t>
      </w:r>
      <w:r w:rsidR="003901CF">
        <w:rPr>
          <w:rFonts w:ascii="Arial" w:hAnsi="Arial" w:cs="Arial"/>
          <w:i/>
          <w:sz w:val="24"/>
          <w:szCs w:val="24"/>
        </w:rPr>
        <w:t xml:space="preserve">the </w:t>
      </w:r>
      <w:r w:rsidRPr="003901CF">
        <w:rPr>
          <w:rFonts w:ascii="Arial" w:hAnsi="Arial" w:cs="Arial"/>
          <w:i/>
          <w:sz w:val="24"/>
          <w:szCs w:val="24"/>
        </w:rPr>
        <w:t>c</w:t>
      </w:r>
      <w:r w:rsidR="00A72FA6" w:rsidRPr="003901CF">
        <w:rPr>
          <w:rFonts w:ascii="Arial" w:hAnsi="Arial" w:cs="Arial"/>
          <w:i/>
          <w:sz w:val="24"/>
          <w:szCs w:val="24"/>
        </w:rPr>
        <w:t>on</w:t>
      </w:r>
      <w:r w:rsidRPr="003901CF">
        <w:rPr>
          <w:rFonts w:ascii="Arial" w:hAnsi="Arial" w:cs="Arial"/>
          <w:i/>
          <w:sz w:val="24"/>
          <w:szCs w:val="24"/>
        </w:rPr>
        <w:t xml:space="preserve">tact details for all 3 LA’s </w:t>
      </w:r>
      <w:r w:rsidR="00A72FA6" w:rsidRPr="003901CF">
        <w:rPr>
          <w:rFonts w:ascii="Arial" w:hAnsi="Arial" w:cs="Arial"/>
          <w:i/>
          <w:sz w:val="24"/>
          <w:szCs w:val="24"/>
        </w:rPr>
        <w:t xml:space="preserve">on the gambling </w:t>
      </w:r>
      <w:r w:rsidR="00F87EF0" w:rsidRPr="003901CF">
        <w:rPr>
          <w:rFonts w:ascii="Arial" w:hAnsi="Arial" w:cs="Arial"/>
          <w:i/>
          <w:sz w:val="24"/>
          <w:szCs w:val="24"/>
        </w:rPr>
        <w:t xml:space="preserve">premises </w:t>
      </w:r>
      <w:r w:rsidR="00A72FA6" w:rsidRPr="003901CF">
        <w:rPr>
          <w:rFonts w:ascii="Arial" w:hAnsi="Arial" w:cs="Arial"/>
          <w:i/>
          <w:sz w:val="24"/>
          <w:szCs w:val="24"/>
        </w:rPr>
        <w:t>webpage.</w:t>
      </w:r>
    </w:p>
    <w:p w14:paraId="77806575" w14:textId="3CD4DB34" w:rsidR="00A72FA6" w:rsidRPr="00A72FA6" w:rsidRDefault="00A72FA6" w:rsidP="00A72FA6">
      <w:p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You will need to provide:</w:t>
      </w:r>
    </w:p>
    <w:p w14:paraId="13C12B2C" w14:textId="73F69E76" w:rsidR="00A72FA6" w:rsidRPr="00A72FA6" w:rsidRDefault="003901CF" w:rsidP="00A72F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Your</w:t>
      </w:r>
      <w:r w:rsidR="00A72FA6" w:rsidRPr="00A72FA6">
        <w:rPr>
          <w:rFonts w:ascii="Arial" w:hAnsi="Arial" w:cs="Arial"/>
          <w:sz w:val="24"/>
          <w:szCs w:val="24"/>
        </w:rPr>
        <w:t xml:space="preserve"> full name, address and contac</w:t>
      </w:r>
      <w:r>
        <w:rPr>
          <w:rFonts w:ascii="Arial" w:hAnsi="Arial" w:cs="Arial"/>
          <w:sz w:val="24"/>
          <w:szCs w:val="24"/>
        </w:rPr>
        <w:t>t details - telephone and email</w:t>
      </w:r>
    </w:p>
    <w:p w14:paraId="74A1FF96" w14:textId="17245387" w:rsidR="00A72FA6" w:rsidRPr="00A72FA6" w:rsidRDefault="00A72FA6" w:rsidP="00A72F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what your interest in the application is</w:t>
      </w:r>
    </w:p>
    <w:p w14:paraId="05D71E13" w14:textId="5B077AE1" w:rsidR="00A72FA6" w:rsidRPr="00A72FA6" w:rsidRDefault="00A72FA6" w:rsidP="00A72F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what your concerns are and how they relate to the licensing objectives</w:t>
      </w:r>
    </w:p>
    <w:p w14:paraId="28A966B1" w14:textId="6B72EC63" w:rsidR="00A72FA6" w:rsidRPr="00A72FA6" w:rsidRDefault="00A72FA6" w:rsidP="00A72FA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if there are any changes you would like to see made to the application which would address your concerns</w:t>
      </w:r>
    </w:p>
    <w:p w14:paraId="05D55917" w14:textId="77777777" w:rsidR="00A72FA6" w:rsidRPr="00A72FA6" w:rsidRDefault="00A72FA6" w:rsidP="00A72FA6">
      <w:p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Please be aware that we will send a copy of your representation to the applicant and will also make it available at any public hearings relating to the application.</w:t>
      </w:r>
    </w:p>
    <w:p w14:paraId="64C77117" w14:textId="77777777" w:rsidR="00A72FA6" w:rsidRPr="00A72FA6" w:rsidRDefault="00A72FA6" w:rsidP="00A72FA6">
      <w:p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If the representations are relevant, the licensing sub-committee will consider the application at a public hearing.</w:t>
      </w:r>
    </w:p>
    <w:p w14:paraId="524A5FDD" w14:textId="77777777" w:rsidR="00A72FA6" w:rsidRPr="00A72FA6" w:rsidRDefault="00A72FA6" w:rsidP="00A72FA6">
      <w:pPr>
        <w:rPr>
          <w:rFonts w:ascii="Arial" w:hAnsi="Arial" w:cs="Arial"/>
          <w:sz w:val="24"/>
          <w:szCs w:val="24"/>
        </w:rPr>
      </w:pPr>
      <w:r w:rsidRPr="00A72FA6">
        <w:rPr>
          <w:rFonts w:ascii="Arial" w:hAnsi="Arial" w:cs="Arial"/>
          <w:sz w:val="24"/>
          <w:szCs w:val="24"/>
        </w:rPr>
        <w:t>If no relevant representations are made, the licence or variation must be granted in the form that the application was made.</w:t>
      </w:r>
    </w:p>
    <w:p w14:paraId="0A4C7954" w14:textId="77777777" w:rsidR="00A72FA6" w:rsidRPr="00A72FA6" w:rsidRDefault="00A72FA6" w:rsidP="00A72FA6">
      <w:pPr>
        <w:rPr>
          <w:rFonts w:ascii="Arial" w:hAnsi="Arial" w:cs="Arial"/>
          <w:sz w:val="24"/>
          <w:szCs w:val="24"/>
        </w:rPr>
      </w:pPr>
    </w:p>
    <w:p w14:paraId="2D98037C" w14:textId="77777777" w:rsidR="00396792" w:rsidRPr="00A72FA6" w:rsidRDefault="00396792" w:rsidP="00A72FA6">
      <w:pPr>
        <w:rPr>
          <w:rFonts w:ascii="Arial" w:hAnsi="Arial" w:cs="Arial"/>
          <w:sz w:val="24"/>
          <w:szCs w:val="24"/>
        </w:rPr>
      </w:pPr>
    </w:p>
    <w:sectPr w:rsidR="00396792" w:rsidRPr="00A72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2D3"/>
    <w:multiLevelType w:val="hybridMultilevel"/>
    <w:tmpl w:val="F978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009"/>
    <w:multiLevelType w:val="hybridMultilevel"/>
    <w:tmpl w:val="851A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59B"/>
    <w:multiLevelType w:val="hybridMultilevel"/>
    <w:tmpl w:val="01DC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B8A"/>
    <w:multiLevelType w:val="hybridMultilevel"/>
    <w:tmpl w:val="7BCE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090D"/>
    <w:multiLevelType w:val="hybridMultilevel"/>
    <w:tmpl w:val="EC28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2059"/>
    <w:multiLevelType w:val="hybridMultilevel"/>
    <w:tmpl w:val="4B64C04A"/>
    <w:lvl w:ilvl="0" w:tplc="8AEC09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102"/>
    <w:multiLevelType w:val="hybridMultilevel"/>
    <w:tmpl w:val="37147522"/>
    <w:lvl w:ilvl="0" w:tplc="8AEC09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27461"/>
    <w:multiLevelType w:val="hybridMultilevel"/>
    <w:tmpl w:val="153A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C3C3B"/>
    <w:multiLevelType w:val="hybridMultilevel"/>
    <w:tmpl w:val="B2D05A1A"/>
    <w:lvl w:ilvl="0" w:tplc="8AEC09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A"/>
    <w:rsid w:val="000308B7"/>
    <w:rsid w:val="00034254"/>
    <w:rsid w:val="0004184B"/>
    <w:rsid w:val="000A7099"/>
    <w:rsid w:val="000E1360"/>
    <w:rsid w:val="001008E8"/>
    <w:rsid w:val="00107D20"/>
    <w:rsid w:val="001133B8"/>
    <w:rsid w:val="00161DEF"/>
    <w:rsid w:val="00170A4A"/>
    <w:rsid w:val="00194735"/>
    <w:rsid w:val="002439F0"/>
    <w:rsid w:val="00245ABC"/>
    <w:rsid w:val="002D2D57"/>
    <w:rsid w:val="00334E5C"/>
    <w:rsid w:val="0036757F"/>
    <w:rsid w:val="003901CF"/>
    <w:rsid w:val="00396792"/>
    <w:rsid w:val="003E77A4"/>
    <w:rsid w:val="005078B8"/>
    <w:rsid w:val="00661F70"/>
    <w:rsid w:val="00780E1E"/>
    <w:rsid w:val="008154F8"/>
    <w:rsid w:val="00855430"/>
    <w:rsid w:val="0085723E"/>
    <w:rsid w:val="009579F1"/>
    <w:rsid w:val="009A124B"/>
    <w:rsid w:val="00A72FA6"/>
    <w:rsid w:val="00CB72AA"/>
    <w:rsid w:val="00E12C0F"/>
    <w:rsid w:val="00E70CDC"/>
    <w:rsid w:val="00E9507E"/>
    <w:rsid w:val="00F85D8F"/>
    <w:rsid w:val="00F87EF0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C2D7"/>
  <w15:chartTrackingRefBased/>
  <w15:docId w15:val="{355F4CA0-E1C3-4B16-97AF-3548D18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mblingcommission.gov.uk/PDF/GLA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mblingcommission.gov.uk/PDF/LCCP/Licence-conditions-and-codes-of-practic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73D8-4135-410D-A1A0-F2A7D740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Matheou</dc:creator>
  <cp:keywords/>
  <dc:description/>
  <cp:lastModifiedBy>Lisa Norgate-Barnes</cp:lastModifiedBy>
  <cp:revision>2</cp:revision>
  <dcterms:created xsi:type="dcterms:W3CDTF">2020-11-26T13:50:00Z</dcterms:created>
  <dcterms:modified xsi:type="dcterms:W3CDTF">2020-11-26T13:50:00Z</dcterms:modified>
</cp:coreProperties>
</file>