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BB137" w14:textId="77777777" w:rsidR="00931785" w:rsidRDefault="00931785">
      <w:pPr>
        <w:pStyle w:val="BodyText"/>
        <w:spacing w:before="11"/>
        <w:rPr>
          <w:rFonts w:ascii="Times New Roman"/>
          <w:sz w:val="6"/>
        </w:rPr>
      </w:pPr>
      <w:bookmarkStart w:id="0" w:name="_GoBack"/>
      <w:bookmarkEnd w:id="0"/>
    </w:p>
    <w:p w14:paraId="433A55D5" w14:textId="77777777" w:rsidR="00931785" w:rsidRDefault="00035E41">
      <w:pPr>
        <w:pStyle w:val="BodyText"/>
        <w:ind w:left="2269"/>
        <w:rPr>
          <w:rFonts w:ascii="Times New Roman"/>
          <w:sz w:val="20"/>
        </w:rPr>
      </w:pPr>
      <w:r w:rsidRPr="007F1DF1">
        <w:rPr>
          <w:noProof/>
          <w:sz w:val="22"/>
          <w:szCs w:val="22"/>
          <w:lang w:val="en-GB" w:eastAsia="en-GB" w:bidi="ar-SA"/>
        </w:rPr>
        <w:drawing>
          <wp:inline distT="0" distB="0" distL="0" distR="0" wp14:anchorId="569D8100" wp14:editId="736AAF7E">
            <wp:extent cx="4584700" cy="1193800"/>
            <wp:effectExtent l="0" t="0" r="6350" b="6350"/>
            <wp:docPr id="3" name="Picture 4" descr="cid:image004.png@01D81838.559E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81838.559E42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584700" cy="1193800"/>
                    </a:xfrm>
                    <a:prstGeom prst="rect">
                      <a:avLst/>
                    </a:prstGeom>
                    <a:noFill/>
                    <a:ln>
                      <a:noFill/>
                    </a:ln>
                  </pic:spPr>
                </pic:pic>
              </a:graphicData>
            </a:graphic>
          </wp:inline>
        </w:drawing>
      </w:r>
    </w:p>
    <w:p w14:paraId="2FFBB7D4" w14:textId="77777777" w:rsidR="00931785" w:rsidRDefault="00931785">
      <w:pPr>
        <w:pStyle w:val="BodyText"/>
        <w:rPr>
          <w:sz w:val="20"/>
        </w:rPr>
      </w:pPr>
    </w:p>
    <w:p w14:paraId="66C8059F" w14:textId="77777777" w:rsidR="00931785" w:rsidRDefault="00931785">
      <w:pPr>
        <w:pStyle w:val="BodyText"/>
        <w:rPr>
          <w:sz w:val="20"/>
        </w:rPr>
      </w:pPr>
    </w:p>
    <w:p w14:paraId="228C9B27" w14:textId="77777777" w:rsidR="00931785" w:rsidRDefault="00931785">
      <w:pPr>
        <w:pStyle w:val="BodyText"/>
        <w:rPr>
          <w:sz w:val="20"/>
        </w:rPr>
      </w:pPr>
    </w:p>
    <w:p w14:paraId="0728DA59" w14:textId="77777777" w:rsidR="00931785" w:rsidRDefault="00931785">
      <w:pPr>
        <w:pStyle w:val="BodyText"/>
        <w:rPr>
          <w:sz w:val="20"/>
        </w:rPr>
      </w:pPr>
    </w:p>
    <w:p w14:paraId="454D3E21" w14:textId="77777777" w:rsidR="00931785" w:rsidRDefault="00931785">
      <w:pPr>
        <w:pStyle w:val="BodyText"/>
        <w:rPr>
          <w:sz w:val="20"/>
        </w:rPr>
      </w:pPr>
    </w:p>
    <w:p w14:paraId="3F5561DD" w14:textId="77777777" w:rsidR="00931785" w:rsidRDefault="00931785">
      <w:pPr>
        <w:pStyle w:val="BodyText"/>
        <w:rPr>
          <w:sz w:val="20"/>
        </w:rPr>
      </w:pPr>
    </w:p>
    <w:p w14:paraId="49982803" w14:textId="77777777" w:rsidR="00931785" w:rsidRDefault="00931785">
      <w:pPr>
        <w:pStyle w:val="BodyText"/>
        <w:rPr>
          <w:sz w:val="20"/>
        </w:rPr>
      </w:pPr>
    </w:p>
    <w:p w14:paraId="6D43D4ED" w14:textId="77777777" w:rsidR="00931785" w:rsidRDefault="00931785">
      <w:pPr>
        <w:pStyle w:val="BodyText"/>
        <w:rPr>
          <w:sz w:val="20"/>
        </w:rPr>
      </w:pPr>
    </w:p>
    <w:p w14:paraId="5E4C8022" w14:textId="77777777" w:rsidR="00931785" w:rsidRDefault="00931785">
      <w:pPr>
        <w:pStyle w:val="BodyText"/>
        <w:rPr>
          <w:sz w:val="20"/>
        </w:rPr>
      </w:pPr>
    </w:p>
    <w:p w14:paraId="37DC71E4" w14:textId="77777777" w:rsidR="00931785" w:rsidRDefault="00931785">
      <w:pPr>
        <w:pStyle w:val="BodyText"/>
        <w:rPr>
          <w:sz w:val="20"/>
        </w:rPr>
      </w:pPr>
    </w:p>
    <w:p w14:paraId="1F0A13FE" w14:textId="77777777" w:rsidR="00931785" w:rsidRDefault="00931785">
      <w:pPr>
        <w:pStyle w:val="BodyText"/>
        <w:rPr>
          <w:sz w:val="20"/>
        </w:rPr>
      </w:pPr>
    </w:p>
    <w:p w14:paraId="60ADBAC8" w14:textId="77777777" w:rsidR="00931785" w:rsidRDefault="00931785">
      <w:pPr>
        <w:pStyle w:val="BodyText"/>
        <w:rPr>
          <w:sz w:val="20"/>
        </w:rPr>
      </w:pPr>
    </w:p>
    <w:p w14:paraId="03E37DC0" w14:textId="77777777" w:rsidR="00931785" w:rsidRDefault="00931785">
      <w:pPr>
        <w:pStyle w:val="BodyText"/>
        <w:rPr>
          <w:sz w:val="20"/>
        </w:rPr>
      </w:pPr>
    </w:p>
    <w:p w14:paraId="495BE23A" w14:textId="77777777" w:rsidR="00931785" w:rsidRDefault="00931785">
      <w:pPr>
        <w:pStyle w:val="BodyText"/>
        <w:rPr>
          <w:sz w:val="20"/>
        </w:rPr>
      </w:pPr>
    </w:p>
    <w:p w14:paraId="65029CBD" w14:textId="77777777" w:rsidR="00931785" w:rsidRDefault="00931785">
      <w:pPr>
        <w:pStyle w:val="BodyText"/>
        <w:spacing w:before="10"/>
        <w:rPr>
          <w:sz w:val="29"/>
        </w:rPr>
      </w:pPr>
    </w:p>
    <w:p w14:paraId="3043FE6A" w14:textId="77777777" w:rsidR="00931785" w:rsidRDefault="00050DE9">
      <w:pPr>
        <w:pStyle w:val="Title"/>
        <w:spacing w:line="670" w:lineRule="exact"/>
      </w:pPr>
      <w:r>
        <w:t>Financial Investigations, Asset</w:t>
      </w:r>
    </w:p>
    <w:p w14:paraId="3B83F6BC" w14:textId="77777777" w:rsidR="00931785" w:rsidRDefault="00050DE9">
      <w:pPr>
        <w:pStyle w:val="Title"/>
        <w:ind w:right="2810"/>
      </w:pPr>
      <w:r>
        <w:t>Recovery and Improving Public Protection</w:t>
      </w:r>
    </w:p>
    <w:p w14:paraId="509D560C" w14:textId="77777777" w:rsidR="00931785" w:rsidRDefault="00B90ABE">
      <w:pPr>
        <w:spacing w:before="5"/>
        <w:ind w:left="1896"/>
        <w:rPr>
          <w:b/>
          <w:sz w:val="40"/>
        </w:rPr>
      </w:pPr>
      <w:r>
        <w:pict w14:anchorId="5EDB7473">
          <v:group id="_x0000_s1026" style="position:absolute;left:0;text-align:left;margin-left:0;margin-top:33.5pt;width:595.25pt;height:255.2pt;z-index:251659264;mso-position-horizontal-relative:page" coordorigin=",670" coordsize="11905,5104">
            <v:shape id="_x0000_s1036" style="position:absolute;top:1495;width:6961;height:3435" coordorigin=",1495" coordsize="6961,3435" path="m,1495l17,4930,6961,4588r,-2853l,1495xe" fillcolor="#a7bede" stroked="f">
              <v:fill opacity="32896f"/>
              <v:path arrowok="t"/>
            </v:shape>
            <v:shape id="_x0000_s1035" style="position:absolute;left:6961;top:1052;width:3383;height:4260" coordorigin="6961,1052" coordsize="3383,4260" path="m10344,1052l6961,1735r,2833l10344,5312r,-4260xe" fillcolor="#d2dfed" stroked="f">
              <v:fill opacity="32896f"/>
              <v:path arrowok="t"/>
            </v:shape>
            <v:shape id="_x0000_s1034" style="position:absolute;left:10344;top:1052;width:1553;height:4260" coordorigin="10344,1052" coordsize="1553,4260" path="m10344,1052r,4260l11897,4348r,-2411l10344,1052xe" fillcolor="#a7bede" stroked="f">
              <v:fill opacity="32896f"/>
              <v:path arrowok="t"/>
            </v:shape>
            <v:shape id="_x0000_s1033" style="position:absolute;left:7884;top:1474;width:4021;height:3496" coordorigin="7884,1474" coordsize="4021,3496" path="m11905,1474l7885,1776r-1,2893l11905,4970r,-3496xe" fillcolor="#d7d7d7" stroked="f">
              <v:path arrowok="t"/>
            </v:shape>
            <v:shape id="_x0000_s1032" style="position:absolute;left:4012;top:670;width:3889;height:5084" coordorigin="4012,670" coordsize="3889,5084" path="m4012,670r,5084l7901,4690r,-2914l4012,670xe" fillcolor="#bebebe" stroked="f">
              <v:path arrowok="t"/>
            </v:shape>
            <v:shape id="_x0000_s1031" style="position:absolute;left:23;top:670;width:3989;height:5104" coordorigin="23,670" coordsize="3989,5104" path="m4012,670l23,1957r,2551l4010,5774r2,-5104xe" fillcolor="#d7d7d7" stroked="f">
              <v:path arrowok="t"/>
            </v:shape>
            <v:shape id="_x0000_s1030" style="position:absolute;left:22;top:932;width:2027;height:4621" coordorigin="22,932" coordsize="2027,4621" path="m2033,932l22,2038r,2471l2049,5553,2033,932xe" fillcolor="#d2dfed" stroked="f">
              <v:fill opacity="45746f"/>
              <v:path arrowok="t"/>
            </v:shape>
            <v:shape id="_x0000_s1029" style="position:absolute;left:2033;top:932;width:5867;height:4602" coordorigin="2033,932" coordsize="5867,4602" path="m2033,932r17,4602l7900,4087r,-1668l2033,932xe" fillcolor="#a7bede" stroked="f">
              <v:fill opacity="45746f"/>
              <v:path arrowok="t"/>
            </v:shape>
            <v:shape id="_x0000_s1028" style="position:absolute;left:7900;top:1193;width:4004;height:4119" coordorigin="7900,1193" coordsize="4004,4119" path="m11904,1193l7900,2439r,1648l11904,5312r,-4119xe" fillcolor="#d2dfed" stroked="f">
              <v:fill opacity="45746f"/>
              <v:path arrowok="t"/>
            </v:shape>
            <v:shapetype id="_x0000_t202" coordsize="21600,21600" o:spt="202" path="m,l,21600r21600,l21600,xe">
              <v:stroke joinstyle="miter"/>
              <v:path gradientshapeok="t" o:connecttype="rect"/>
            </v:shapetype>
            <v:shape id="_x0000_s1027" type="#_x0000_t202" style="position:absolute;top:670;width:11905;height:5104" filled="f" stroked="f">
              <v:textbox inset="0,0,0,0">
                <w:txbxContent>
                  <w:p w14:paraId="36E22BA8" w14:textId="77777777" w:rsidR="00931785" w:rsidRDefault="00931785">
                    <w:pPr>
                      <w:spacing w:before="3"/>
                      <w:rPr>
                        <w:b/>
                        <w:sz w:val="138"/>
                      </w:rPr>
                    </w:pPr>
                  </w:p>
                  <w:p w14:paraId="1DB19DDB" w14:textId="5B924CAF" w:rsidR="00931785" w:rsidRDefault="00050DE9">
                    <w:pPr>
                      <w:spacing w:before="1"/>
                      <w:ind w:left="6848"/>
                      <w:rPr>
                        <w:sz w:val="96"/>
                      </w:rPr>
                    </w:pPr>
                    <w:r>
                      <w:rPr>
                        <w:sz w:val="96"/>
                      </w:rPr>
                      <w:t>20</w:t>
                    </w:r>
                    <w:r w:rsidR="004C455B">
                      <w:rPr>
                        <w:sz w:val="96"/>
                      </w:rPr>
                      <w:t>23</w:t>
                    </w:r>
                    <w:r>
                      <w:rPr>
                        <w:sz w:val="96"/>
                      </w:rPr>
                      <w:t>-20</w:t>
                    </w:r>
                    <w:r w:rsidR="004C455B">
                      <w:rPr>
                        <w:sz w:val="96"/>
                      </w:rPr>
                      <w:t>24</w:t>
                    </w:r>
                  </w:p>
                </w:txbxContent>
              </v:textbox>
            </v:shape>
            <w10:wrap anchorx="page"/>
          </v:group>
        </w:pict>
      </w:r>
      <w:r w:rsidR="00050DE9">
        <w:rPr>
          <w:b/>
          <w:color w:val="4F81BC"/>
          <w:sz w:val="40"/>
        </w:rPr>
        <w:t>Use of the asset recovery incentivisation scheme</w:t>
      </w:r>
    </w:p>
    <w:p w14:paraId="3EFAFCB3" w14:textId="77777777" w:rsidR="00931785" w:rsidRDefault="00931785">
      <w:pPr>
        <w:rPr>
          <w:sz w:val="40"/>
        </w:rPr>
        <w:sectPr w:rsidR="00931785">
          <w:type w:val="continuous"/>
          <w:pgSz w:w="11910" w:h="16840"/>
          <w:pgMar w:top="1580" w:right="0" w:bottom="280" w:left="0" w:header="720" w:footer="720" w:gutter="0"/>
          <w:cols w:space="720"/>
        </w:sectPr>
      </w:pPr>
    </w:p>
    <w:p w14:paraId="3DBD3FE9" w14:textId="77777777" w:rsidR="00931785" w:rsidRPr="00035E41" w:rsidRDefault="00050DE9">
      <w:pPr>
        <w:pStyle w:val="Heading2"/>
        <w:spacing w:before="38"/>
        <w:jc w:val="left"/>
        <w:rPr>
          <w:sz w:val="32"/>
          <w:szCs w:val="32"/>
        </w:rPr>
      </w:pPr>
      <w:r w:rsidRPr="00035E41">
        <w:rPr>
          <w:color w:val="4F81BC"/>
          <w:sz w:val="32"/>
          <w:szCs w:val="32"/>
        </w:rPr>
        <w:lastRenderedPageBreak/>
        <w:t>Contents</w:t>
      </w:r>
    </w:p>
    <w:sdt>
      <w:sdtPr>
        <w:rPr>
          <w:sz w:val="22"/>
          <w:szCs w:val="22"/>
        </w:rPr>
        <w:id w:val="1962151633"/>
        <w:docPartObj>
          <w:docPartGallery w:val="Table of Contents"/>
          <w:docPartUnique/>
        </w:docPartObj>
      </w:sdtPr>
      <w:sdtEndPr/>
      <w:sdtContent>
        <w:p w14:paraId="3FBD8C46" w14:textId="77777777" w:rsidR="004C455B" w:rsidRDefault="00050DE9">
          <w:pPr>
            <w:pStyle w:val="TOC1"/>
            <w:tabs>
              <w:tab w:val="left" w:pos="1879"/>
              <w:tab w:val="right" w:leader="dot" w:pos="11900"/>
            </w:tabs>
            <w:rPr>
              <w:rFonts w:asciiTheme="minorHAnsi" w:eastAsiaTheme="minorEastAsia" w:hAnsiTheme="minorHAnsi" w:cstheme="minorBidi"/>
              <w:noProof/>
              <w:sz w:val="22"/>
              <w:szCs w:val="22"/>
              <w:lang w:val="en-GB" w:eastAsia="en-GB" w:bidi="ar-SA"/>
            </w:rPr>
          </w:pPr>
          <w:r>
            <w:fldChar w:fldCharType="begin"/>
          </w:r>
          <w:r>
            <w:instrText xml:space="preserve">TOC \o "1-1" \h \z \u </w:instrText>
          </w:r>
          <w:r>
            <w:fldChar w:fldCharType="separate"/>
          </w:r>
          <w:hyperlink w:anchor="_Toc129093038" w:history="1">
            <w:r w:rsidR="004C455B" w:rsidRPr="009428B2">
              <w:rPr>
                <w:rStyle w:val="Hyperlink"/>
                <w:noProof/>
                <w:spacing w:val="-1"/>
                <w:w w:val="99"/>
              </w:rPr>
              <w:t>1.</w:t>
            </w:r>
            <w:r w:rsidR="004C455B">
              <w:rPr>
                <w:rFonts w:asciiTheme="minorHAnsi" w:eastAsiaTheme="minorEastAsia" w:hAnsiTheme="minorHAnsi" w:cstheme="minorBidi"/>
                <w:noProof/>
                <w:sz w:val="22"/>
                <w:szCs w:val="22"/>
                <w:lang w:val="en-GB" w:eastAsia="en-GB" w:bidi="ar-SA"/>
              </w:rPr>
              <w:tab/>
            </w:r>
            <w:r w:rsidR="004C455B" w:rsidRPr="009428B2">
              <w:rPr>
                <w:rStyle w:val="Hyperlink"/>
                <w:noProof/>
              </w:rPr>
              <w:t>Background</w:t>
            </w:r>
            <w:r w:rsidR="004C455B">
              <w:rPr>
                <w:noProof/>
                <w:webHidden/>
              </w:rPr>
              <w:tab/>
            </w:r>
            <w:r w:rsidR="004C455B">
              <w:rPr>
                <w:noProof/>
                <w:webHidden/>
              </w:rPr>
              <w:fldChar w:fldCharType="begin"/>
            </w:r>
            <w:r w:rsidR="004C455B">
              <w:rPr>
                <w:noProof/>
                <w:webHidden/>
              </w:rPr>
              <w:instrText xml:space="preserve"> PAGEREF _Toc129093038 \h </w:instrText>
            </w:r>
            <w:r w:rsidR="004C455B">
              <w:rPr>
                <w:noProof/>
                <w:webHidden/>
              </w:rPr>
            </w:r>
            <w:r w:rsidR="004C455B">
              <w:rPr>
                <w:noProof/>
                <w:webHidden/>
              </w:rPr>
              <w:fldChar w:fldCharType="separate"/>
            </w:r>
            <w:r w:rsidR="004C455B">
              <w:rPr>
                <w:noProof/>
                <w:webHidden/>
              </w:rPr>
              <w:t>3</w:t>
            </w:r>
            <w:r w:rsidR="004C455B">
              <w:rPr>
                <w:noProof/>
                <w:webHidden/>
              </w:rPr>
              <w:fldChar w:fldCharType="end"/>
            </w:r>
          </w:hyperlink>
        </w:p>
        <w:p w14:paraId="65BB23A0" w14:textId="77777777" w:rsidR="004C455B" w:rsidRDefault="00B90ABE">
          <w:pPr>
            <w:pStyle w:val="TOC1"/>
            <w:tabs>
              <w:tab w:val="left" w:pos="1879"/>
              <w:tab w:val="right" w:leader="dot" w:pos="11900"/>
            </w:tabs>
            <w:rPr>
              <w:rFonts w:asciiTheme="minorHAnsi" w:eastAsiaTheme="minorEastAsia" w:hAnsiTheme="minorHAnsi" w:cstheme="minorBidi"/>
              <w:noProof/>
              <w:sz w:val="22"/>
              <w:szCs w:val="22"/>
              <w:lang w:val="en-GB" w:eastAsia="en-GB" w:bidi="ar-SA"/>
            </w:rPr>
          </w:pPr>
          <w:hyperlink w:anchor="_Toc129093039" w:history="1">
            <w:r w:rsidR="004C455B" w:rsidRPr="009428B2">
              <w:rPr>
                <w:rStyle w:val="Hyperlink"/>
                <w:noProof/>
                <w:spacing w:val="-1"/>
                <w:w w:val="99"/>
              </w:rPr>
              <w:t>2.</w:t>
            </w:r>
            <w:r w:rsidR="004C455B">
              <w:rPr>
                <w:rFonts w:asciiTheme="minorHAnsi" w:eastAsiaTheme="minorEastAsia" w:hAnsiTheme="minorHAnsi" w:cstheme="minorBidi"/>
                <w:noProof/>
                <w:sz w:val="22"/>
                <w:szCs w:val="22"/>
                <w:lang w:val="en-GB" w:eastAsia="en-GB" w:bidi="ar-SA"/>
              </w:rPr>
              <w:tab/>
            </w:r>
            <w:r w:rsidR="004C455B" w:rsidRPr="009428B2">
              <w:rPr>
                <w:rStyle w:val="Hyperlink"/>
                <w:noProof/>
              </w:rPr>
              <w:t>Allocation under the</w:t>
            </w:r>
            <w:r w:rsidR="004C455B" w:rsidRPr="009428B2">
              <w:rPr>
                <w:rStyle w:val="Hyperlink"/>
                <w:noProof/>
                <w:spacing w:val="-3"/>
              </w:rPr>
              <w:t xml:space="preserve"> </w:t>
            </w:r>
            <w:r w:rsidR="004C455B" w:rsidRPr="009428B2">
              <w:rPr>
                <w:rStyle w:val="Hyperlink"/>
                <w:noProof/>
              </w:rPr>
              <w:t>Scheme</w:t>
            </w:r>
            <w:r w:rsidR="004C455B">
              <w:rPr>
                <w:noProof/>
                <w:webHidden/>
              </w:rPr>
              <w:tab/>
            </w:r>
            <w:r w:rsidR="004C455B">
              <w:rPr>
                <w:noProof/>
                <w:webHidden/>
              </w:rPr>
              <w:fldChar w:fldCharType="begin"/>
            </w:r>
            <w:r w:rsidR="004C455B">
              <w:rPr>
                <w:noProof/>
                <w:webHidden/>
              </w:rPr>
              <w:instrText xml:space="preserve"> PAGEREF _Toc129093039 \h </w:instrText>
            </w:r>
            <w:r w:rsidR="004C455B">
              <w:rPr>
                <w:noProof/>
                <w:webHidden/>
              </w:rPr>
            </w:r>
            <w:r w:rsidR="004C455B">
              <w:rPr>
                <w:noProof/>
                <w:webHidden/>
              </w:rPr>
              <w:fldChar w:fldCharType="separate"/>
            </w:r>
            <w:r w:rsidR="004C455B">
              <w:rPr>
                <w:noProof/>
                <w:webHidden/>
              </w:rPr>
              <w:t>3</w:t>
            </w:r>
            <w:r w:rsidR="004C455B">
              <w:rPr>
                <w:noProof/>
                <w:webHidden/>
              </w:rPr>
              <w:fldChar w:fldCharType="end"/>
            </w:r>
          </w:hyperlink>
        </w:p>
        <w:p w14:paraId="5752A2B7" w14:textId="77777777" w:rsidR="004C455B" w:rsidRDefault="00B90ABE">
          <w:pPr>
            <w:pStyle w:val="TOC1"/>
            <w:tabs>
              <w:tab w:val="left" w:pos="1879"/>
              <w:tab w:val="right" w:leader="dot" w:pos="11900"/>
            </w:tabs>
            <w:rPr>
              <w:rFonts w:asciiTheme="minorHAnsi" w:eastAsiaTheme="minorEastAsia" w:hAnsiTheme="minorHAnsi" w:cstheme="minorBidi"/>
              <w:noProof/>
              <w:sz w:val="22"/>
              <w:szCs w:val="22"/>
              <w:lang w:val="en-GB" w:eastAsia="en-GB" w:bidi="ar-SA"/>
            </w:rPr>
          </w:pPr>
          <w:hyperlink w:anchor="_Toc129093040" w:history="1">
            <w:r w:rsidR="004C455B" w:rsidRPr="009428B2">
              <w:rPr>
                <w:rStyle w:val="Hyperlink"/>
                <w:noProof/>
                <w:spacing w:val="-1"/>
                <w:w w:val="99"/>
              </w:rPr>
              <w:t>3.</w:t>
            </w:r>
            <w:r w:rsidR="004C455B">
              <w:rPr>
                <w:rFonts w:asciiTheme="minorHAnsi" w:eastAsiaTheme="minorEastAsia" w:hAnsiTheme="minorHAnsi" w:cstheme="minorBidi"/>
                <w:noProof/>
                <w:sz w:val="22"/>
                <w:szCs w:val="22"/>
                <w:lang w:val="en-GB" w:eastAsia="en-GB" w:bidi="ar-SA"/>
              </w:rPr>
              <w:tab/>
            </w:r>
            <w:r w:rsidR="004C455B" w:rsidRPr="009428B2">
              <w:rPr>
                <w:rStyle w:val="Hyperlink"/>
                <w:noProof/>
              </w:rPr>
              <w:t>Home Office</w:t>
            </w:r>
            <w:r w:rsidR="004C455B" w:rsidRPr="009428B2">
              <w:rPr>
                <w:rStyle w:val="Hyperlink"/>
                <w:noProof/>
                <w:spacing w:val="-3"/>
              </w:rPr>
              <w:t xml:space="preserve"> </w:t>
            </w:r>
            <w:r w:rsidR="004C455B" w:rsidRPr="009428B2">
              <w:rPr>
                <w:rStyle w:val="Hyperlink"/>
                <w:noProof/>
              </w:rPr>
              <w:t>Requirements</w:t>
            </w:r>
            <w:r w:rsidR="004C455B">
              <w:rPr>
                <w:noProof/>
                <w:webHidden/>
              </w:rPr>
              <w:tab/>
            </w:r>
            <w:r w:rsidR="004C455B">
              <w:rPr>
                <w:noProof/>
                <w:webHidden/>
              </w:rPr>
              <w:fldChar w:fldCharType="begin"/>
            </w:r>
            <w:r w:rsidR="004C455B">
              <w:rPr>
                <w:noProof/>
                <w:webHidden/>
              </w:rPr>
              <w:instrText xml:space="preserve"> PAGEREF _Toc129093040 \h </w:instrText>
            </w:r>
            <w:r w:rsidR="004C455B">
              <w:rPr>
                <w:noProof/>
                <w:webHidden/>
              </w:rPr>
            </w:r>
            <w:r w:rsidR="004C455B">
              <w:rPr>
                <w:noProof/>
                <w:webHidden/>
              </w:rPr>
              <w:fldChar w:fldCharType="separate"/>
            </w:r>
            <w:r w:rsidR="004C455B">
              <w:rPr>
                <w:noProof/>
                <w:webHidden/>
              </w:rPr>
              <w:t>4</w:t>
            </w:r>
            <w:r w:rsidR="004C455B">
              <w:rPr>
                <w:noProof/>
                <w:webHidden/>
              </w:rPr>
              <w:fldChar w:fldCharType="end"/>
            </w:r>
          </w:hyperlink>
        </w:p>
        <w:p w14:paraId="18392E69" w14:textId="77777777" w:rsidR="004C455B" w:rsidRDefault="00B90ABE">
          <w:pPr>
            <w:pStyle w:val="TOC1"/>
            <w:tabs>
              <w:tab w:val="left" w:pos="1879"/>
              <w:tab w:val="right" w:leader="dot" w:pos="11900"/>
            </w:tabs>
            <w:rPr>
              <w:rFonts w:asciiTheme="minorHAnsi" w:eastAsiaTheme="minorEastAsia" w:hAnsiTheme="minorHAnsi" w:cstheme="minorBidi"/>
              <w:noProof/>
              <w:sz w:val="22"/>
              <w:szCs w:val="22"/>
              <w:lang w:val="en-GB" w:eastAsia="en-GB" w:bidi="ar-SA"/>
            </w:rPr>
          </w:pPr>
          <w:hyperlink w:anchor="_Toc129093041" w:history="1">
            <w:r w:rsidR="004C455B" w:rsidRPr="009428B2">
              <w:rPr>
                <w:rStyle w:val="Hyperlink"/>
                <w:noProof/>
                <w:spacing w:val="-1"/>
                <w:w w:val="99"/>
              </w:rPr>
              <w:t>4.</w:t>
            </w:r>
            <w:r w:rsidR="004C455B">
              <w:rPr>
                <w:rFonts w:asciiTheme="minorHAnsi" w:eastAsiaTheme="minorEastAsia" w:hAnsiTheme="minorHAnsi" w:cstheme="minorBidi"/>
                <w:noProof/>
                <w:sz w:val="22"/>
                <w:szCs w:val="22"/>
                <w:lang w:val="en-GB" w:eastAsia="en-GB" w:bidi="ar-SA"/>
              </w:rPr>
              <w:tab/>
            </w:r>
            <w:r w:rsidR="004C455B" w:rsidRPr="009428B2">
              <w:rPr>
                <w:rStyle w:val="Hyperlink"/>
                <w:noProof/>
              </w:rPr>
              <w:t>Disbursements</w:t>
            </w:r>
            <w:r w:rsidR="004C455B">
              <w:rPr>
                <w:noProof/>
                <w:webHidden/>
              </w:rPr>
              <w:tab/>
            </w:r>
            <w:r w:rsidR="004C455B">
              <w:rPr>
                <w:noProof/>
                <w:webHidden/>
              </w:rPr>
              <w:fldChar w:fldCharType="begin"/>
            </w:r>
            <w:r w:rsidR="004C455B">
              <w:rPr>
                <w:noProof/>
                <w:webHidden/>
              </w:rPr>
              <w:instrText xml:space="preserve"> PAGEREF _Toc129093041 \h </w:instrText>
            </w:r>
            <w:r w:rsidR="004C455B">
              <w:rPr>
                <w:noProof/>
                <w:webHidden/>
              </w:rPr>
            </w:r>
            <w:r w:rsidR="004C455B">
              <w:rPr>
                <w:noProof/>
                <w:webHidden/>
              </w:rPr>
              <w:fldChar w:fldCharType="separate"/>
            </w:r>
            <w:r w:rsidR="004C455B">
              <w:rPr>
                <w:noProof/>
                <w:webHidden/>
              </w:rPr>
              <w:t>4</w:t>
            </w:r>
            <w:r w:rsidR="004C455B">
              <w:rPr>
                <w:noProof/>
                <w:webHidden/>
              </w:rPr>
              <w:fldChar w:fldCharType="end"/>
            </w:r>
          </w:hyperlink>
        </w:p>
        <w:p w14:paraId="64B62325" w14:textId="77777777" w:rsidR="004C455B" w:rsidRDefault="00B90ABE">
          <w:pPr>
            <w:pStyle w:val="TOC1"/>
            <w:tabs>
              <w:tab w:val="left" w:pos="1879"/>
              <w:tab w:val="right" w:leader="dot" w:pos="11900"/>
            </w:tabs>
            <w:rPr>
              <w:rFonts w:asciiTheme="minorHAnsi" w:eastAsiaTheme="minorEastAsia" w:hAnsiTheme="minorHAnsi" w:cstheme="minorBidi"/>
              <w:noProof/>
              <w:sz w:val="22"/>
              <w:szCs w:val="22"/>
              <w:lang w:val="en-GB" w:eastAsia="en-GB" w:bidi="ar-SA"/>
            </w:rPr>
          </w:pPr>
          <w:hyperlink w:anchor="_Toc129093042" w:history="1">
            <w:r w:rsidR="004C455B" w:rsidRPr="009428B2">
              <w:rPr>
                <w:rStyle w:val="Hyperlink"/>
                <w:noProof/>
                <w:spacing w:val="-1"/>
                <w:w w:val="99"/>
              </w:rPr>
              <w:t>5.</w:t>
            </w:r>
            <w:r w:rsidR="004C455B">
              <w:rPr>
                <w:rFonts w:asciiTheme="minorHAnsi" w:eastAsiaTheme="minorEastAsia" w:hAnsiTheme="minorHAnsi" w:cstheme="minorBidi"/>
                <w:noProof/>
                <w:sz w:val="22"/>
                <w:szCs w:val="22"/>
                <w:lang w:val="en-GB" w:eastAsia="en-GB" w:bidi="ar-SA"/>
              </w:rPr>
              <w:tab/>
            </w:r>
            <w:r w:rsidR="004C455B" w:rsidRPr="009428B2">
              <w:rPr>
                <w:rStyle w:val="Hyperlink"/>
                <w:noProof/>
              </w:rPr>
              <w:t>Public Protection Investment</w:t>
            </w:r>
            <w:r w:rsidR="004C455B" w:rsidRPr="009428B2">
              <w:rPr>
                <w:rStyle w:val="Hyperlink"/>
                <w:noProof/>
                <w:spacing w:val="-4"/>
              </w:rPr>
              <w:t xml:space="preserve"> </w:t>
            </w:r>
            <w:r w:rsidR="004C455B" w:rsidRPr="009428B2">
              <w:rPr>
                <w:rStyle w:val="Hyperlink"/>
                <w:noProof/>
              </w:rPr>
              <w:t>Priorities</w:t>
            </w:r>
            <w:r w:rsidR="004C455B">
              <w:rPr>
                <w:noProof/>
                <w:webHidden/>
              </w:rPr>
              <w:tab/>
            </w:r>
            <w:r w:rsidR="004C455B">
              <w:rPr>
                <w:noProof/>
                <w:webHidden/>
              </w:rPr>
              <w:fldChar w:fldCharType="begin"/>
            </w:r>
            <w:r w:rsidR="004C455B">
              <w:rPr>
                <w:noProof/>
                <w:webHidden/>
              </w:rPr>
              <w:instrText xml:space="preserve"> PAGEREF _Toc129093042 \h </w:instrText>
            </w:r>
            <w:r w:rsidR="004C455B">
              <w:rPr>
                <w:noProof/>
                <w:webHidden/>
              </w:rPr>
            </w:r>
            <w:r w:rsidR="004C455B">
              <w:rPr>
                <w:noProof/>
                <w:webHidden/>
              </w:rPr>
              <w:fldChar w:fldCharType="separate"/>
            </w:r>
            <w:r w:rsidR="004C455B">
              <w:rPr>
                <w:noProof/>
                <w:webHidden/>
              </w:rPr>
              <w:t>4</w:t>
            </w:r>
            <w:r w:rsidR="004C455B">
              <w:rPr>
                <w:noProof/>
                <w:webHidden/>
              </w:rPr>
              <w:fldChar w:fldCharType="end"/>
            </w:r>
          </w:hyperlink>
        </w:p>
        <w:p w14:paraId="3A6F3AB4" w14:textId="77777777" w:rsidR="004C455B" w:rsidRDefault="00B90ABE">
          <w:pPr>
            <w:pStyle w:val="TOC1"/>
            <w:tabs>
              <w:tab w:val="left" w:pos="1879"/>
              <w:tab w:val="right" w:leader="dot" w:pos="11900"/>
            </w:tabs>
            <w:rPr>
              <w:rFonts w:asciiTheme="minorHAnsi" w:eastAsiaTheme="minorEastAsia" w:hAnsiTheme="minorHAnsi" w:cstheme="minorBidi"/>
              <w:noProof/>
              <w:sz w:val="22"/>
              <w:szCs w:val="22"/>
              <w:lang w:val="en-GB" w:eastAsia="en-GB" w:bidi="ar-SA"/>
            </w:rPr>
          </w:pPr>
          <w:hyperlink w:anchor="_Toc129093043" w:history="1">
            <w:r w:rsidR="004C455B" w:rsidRPr="009428B2">
              <w:rPr>
                <w:rStyle w:val="Hyperlink"/>
                <w:noProof/>
                <w:spacing w:val="-1"/>
                <w:w w:val="99"/>
              </w:rPr>
              <w:t>6.</w:t>
            </w:r>
            <w:r w:rsidR="004C455B">
              <w:rPr>
                <w:rFonts w:asciiTheme="minorHAnsi" w:eastAsiaTheme="minorEastAsia" w:hAnsiTheme="minorHAnsi" w:cstheme="minorBidi"/>
                <w:noProof/>
                <w:sz w:val="22"/>
                <w:szCs w:val="22"/>
                <w:lang w:val="en-GB" w:eastAsia="en-GB" w:bidi="ar-SA"/>
              </w:rPr>
              <w:tab/>
            </w:r>
            <w:r w:rsidR="004C455B" w:rsidRPr="009428B2">
              <w:rPr>
                <w:rStyle w:val="Hyperlink"/>
                <w:noProof/>
              </w:rPr>
              <w:t>Communications</w:t>
            </w:r>
            <w:r w:rsidR="004C455B">
              <w:rPr>
                <w:noProof/>
                <w:webHidden/>
              </w:rPr>
              <w:tab/>
            </w:r>
            <w:r w:rsidR="004C455B">
              <w:rPr>
                <w:noProof/>
                <w:webHidden/>
              </w:rPr>
              <w:fldChar w:fldCharType="begin"/>
            </w:r>
            <w:r w:rsidR="004C455B">
              <w:rPr>
                <w:noProof/>
                <w:webHidden/>
              </w:rPr>
              <w:instrText xml:space="preserve"> PAGEREF _Toc129093043 \h </w:instrText>
            </w:r>
            <w:r w:rsidR="004C455B">
              <w:rPr>
                <w:noProof/>
                <w:webHidden/>
              </w:rPr>
            </w:r>
            <w:r w:rsidR="004C455B">
              <w:rPr>
                <w:noProof/>
                <w:webHidden/>
              </w:rPr>
              <w:fldChar w:fldCharType="separate"/>
            </w:r>
            <w:r w:rsidR="004C455B">
              <w:rPr>
                <w:noProof/>
                <w:webHidden/>
              </w:rPr>
              <w:t>5</w:t>
            </w:r>
            <w:r w:rsidR="004C455B">
              <w:rPr>
                <w:noProof/>
                <w:webHidden/>
              </w:rPr>
              <w:fldChar w:fldCharType="end"/>
            </w:r>
          </w:hyperlink>
        </w:p>
        <w:p w14:paraId="582BD352" w14:textId="77777777" w:rsidR="004C455B" w:rsidRDefault="00B90ABE">
          <w:pPr>
            <w:pStyle w:val="TOC1"/>
            <w:tabs>
              <w:tab w:val="right" w:leader="dot" w:pos="11900"/>
            </w:tabs>
            <w:rPr>
              <w:rFonts w:asciiTheme="minorHAnsi" w:eastAsiaTheme="minorEastAsia" w:hAnsiTheme="minorHAnsi" w:cstheme="minorBidi"/>
              <w:noProof/>
              <w:sz w:val="22"/>
              <w:szCs w:val="22"/>
              <w:lang w:val="en-GB" w:eastAsia="en-GB" w:bidi="ar-SA"/>
            </w:rPr>
          </w:pPr>
          <w:hyperlink w:anchor="_Toc129093044" w:history="1">
            <w:r w:rsidR="004C455B" w:rsidRPr="009428B2">
              <w:rPr>
                <w:rStyle w:val="Hyperlink"/>
                <w:noProof/>
              </w:rPr>
              <w:t>REFERENCES</w:t>
            </w:r>
            <w:r w:rsidR="004C455B">
              <w:rPr>
                <w:noProof/>
                <w:webHidden/>
              </w:rPr>
              <w:tab/>
            </w:r>
            <w:r w:rsidR="004C455B">
              <w:rPr>
                <w:noProof/>
                <w:webHidden/>
              </w:rPr>
              <w:fldChar w:fldCharType="begin"/>
            </w:r>
            <w:r w:rsidR="004C455B">
              <w:rPr>
                <w:noProof/>
                <w:webHidden/>
              </w:rPr>
              <w:instrText xml:space="preserve"> PAGEREF _Toc129093044 \h </w:instrText>
            </w:r>
            <w:r w:rsidR="004C455B">
              <w:rPr>
                <w:noProof/>
                <w:webHidden/>
              </w:rPr>
            </w:r>
            <w:r w:rsidR="004C455B">
              <w:rPr>
                <w:noProof/>
                <w:webHidden/>
              </w:rPr>
              <w:fldChar w:fldCharType="separate"/>
            </w:r>
            <w:r w:rsidR="004C455B">
              <w:rPr>
                <w:noProof/>
                <w:webHidden/>
              </w:rPr>
              <w:t>6</w:t>
            </w:r>
            <w:r w:rsidR="004C455B">
              <w:rPr>
                <w:noProof/>
                <w:webHidden/>
              </w:rPr>
              <w:fldChar w:fldCharType="end"/>
            </w:r>
          </w:hyperlink>
        </w:p>
        <w:p w14:paraId="5E05FDC3" w14:textId="77777777" w:rsidR="00931785" w:rsidRDefault="00050DE9">
          <w:r>
            <w:fldChar w:fldCharType="end"/>
          </w:r>
        </w:p>
      </w:sdtContent>
    </w:sdt>
    <w:p w14:paraId="26E50679" w14:textId="77777777" w:rsidR="00931785" w:rsidRDefault="00931785">
      <w:pPr>
        <w:sectPr w:rsidR="00931785">
          <w:footerReference w:type="default" r:id="rId9"/>
          <w:pgSz w:w="11910" w:h="16840"/>
          <w:pgMar w:top="1380" w:right="0" w:bottom="840" w:left="0" w:header="0" w:footer="651" w:gutter="0"/>
          <w:pgNumType w:start="2"/>
          <w:cols w:space="720"/>
        </w:sectPr>
      </w:pPr>
    </w:p>
    <w:p w14:paraId="3B361843" w14:textId="77777777" w:rsidR="00931785" w:rsidRDefault="00050DE9">
      <w:pPr>
        <w:pStyle w:val="Heading1"/>
        <w:numPr>
          <w:ilvl w:val="0"/>
          <w:numId w:val="2"/>
        </w:numPr>
        <w:tabs>
          <w:tab w:val="left" w:pos="1801"/>
        </w:tabs>
        <w:spacing w:before="19"/>
        <w:ind w:hanging="361"/>
      </w:pPr>
      <w:bookmarkStart w:id="1" w:name="_Toc129093038"/>
      <w:r>
        <w:rPr>
          <w:color w:val="4F81BC"/>
        </w:rPr>
        <w:lastRenderedPageBreak/>
        <w:t>Background</w:t>
      </w:r>
      <w:bookmarkEnd w:id="1"/>
    </w:p>
    <w:p w14:paraId="254DA70C" w14:textId="77777777" w:rsidR="00931785" w:rsidRDefault="00050DE9">
      <w:pPr>
        <w:pStyle w:val="BodyText"/>
        <w:spacing w:before="63"/>
        <w:ind w:left="1440" w:right="1435"/>
        <w:jc w:val="both"/>
        <w:rPr>
          <w:b/>
        </w:rPr>
      </w:pPr>
      <w:r>
        <w:t>The primary function of the Proceeds of Crime Act (POCA) is to reduce crime and to ensure that those that operate outside of the law by committing criminal offences do not benefit from their criminal activity</w:t>
      </w:r>
      <w:r>
        <w:rPr>
          <w:b/>
        </w:rPr>
        <w:t>.</w:t>
      </w:r>
    </w:p>
    <w:p w14:paraId="2F0E2FA2" w14:textId="77777777" w:rsidR="00931785" w:rsidRDefault="00931785">
      <w:pPr>
        <w:pStyle w:val="BodyText"/>
        <w:spacing w:before="11"/>
        <w:rPr>
          <w:b/>
          <w:sz w:val="23"/>
        </w:rPr>
      </w:pPr>
    </w:p>
    <w:p w14:paraId="4E461D23" w14:textId="77777777" w:rsidR="00931785" w:rsidRDefault="00050DE9">
      <w:pPr>
        <w:pStyle w:val="Heading2"/>
        <w:ind w:right="1438"/>
      </w:pPr>
      <w:r>
        <w:t>The Public Protection Partnership start from the principle that crime should not be allowed to</w:t>
      </w:r>
      <w:r>
        <w:rPr>
          <w:spacing w:val="-3"/>
        </w:rPr>
        <w:t xml:space="preserve"> </w:t>
      </w:r>
      <w:r>
        <w:t>pay.</w:t>
      </w:r>
    </w:p>
    <w:p w14:paraId="72D8A5E6" w14:textId="77777777" w:rsidR="00931785" w:rsidRDefault="00931785">
      <w:pPr>
        <w:pStyle w:val="BodyText"/>
        <w:rPr>
          <w:b/>
        </w:rPr>
      </w:pPr>
    </w:p>
    <w:p w14:paraId="7C614EC1" w14:textId="77777777" w:rsidR="00931785" w:rsidRDefault="00050DE9">
      <w:pPr>
        <w:pStyle w:val="Heading2"/>
        <w:ind w:right="1441"/>
      </w:pPr>
      <w:r>
        <w:t>Those that do not commit crimes from which financial benefit is gained have nothing to fear from the legal framework around asset recovery.</w:t>
      </w:r>
    </w:p>
    <w:p w14:paraId="3C173906" w14:textId="77777777" w:rsidR="00931785" w:rsidRDefault="00931785">
      <w:pPr>
        <w:pStyle w:val="BodyText"/>
        <w:spacing w:before="11"/>
        <w:rPr>
          <w:b/>
          <w:sz w:val="23"/>
        </w:rPr>
      </w:pPr>
    </w:p>
    <w:p w14:paraId="61F37F35" w14:textId="77777777" w:rsidR="00931785" w:rsidRDefault="00050DE9">
      <w:pPr>
        <w:pStyle w:val="BodyText"/>
        <w:spacing w:line="242" w:lineRule="auto"/>
        <w:ind w:left="1440" w:right="1437"/>
        <w:jc w:val="both"/>
      </w:pPr>
      <w:r>
        <w:t>Every effort is made by the Public Protection Partnership (PPP) to work effectively, identify criminal activity and carry out enforcement activity in an appropriate manner.</w:t>
      </w:r>
    </w:p>
    <w:p w14:paraId="556400E6" w14:textId="77777777" w:rsidR="00931785" w:rsidRDefault="00931785">
      <w:pPr>
        <w:pStyle w:val="BodyText"/>
        <w:spacing w:before="9"/>
        <w:rPr>
          <w:sz w:val="23"/>
        </w:rPr>
      </w:pPr>
    </w:p>
    <w:p w14:paraId="78835FED" w14:textId="77777777" w:rsidR="00931785" w:rsidRDefault="00050DE9">
      <w:pPr>
        <w:pStyle w:val="BodyText"/>
        <w:ind w:left="1440" w:right="1437"/>
        <w:jc w:val="both"/>
      </w:pPr>
      <w:r>
        <w:t>Some investigations identify that those committing the crimes may have benefited from their criminal activity and some are deemed to indicate a criminal lifestyle within the terms of the law. This can be as a result of particular actions such as:</w:t>
      </w:r>
    </w:p>
    <w:p w14:paraId="63040846" w14:textId="77777777" w:rsidR="00931785" w:rsidRDefault="00931785">
      <w:pPr>
        <w:pStyle w:val="BodyText"/>
        <w:spacing w:before="12"/>
        <w:rPr>
          <w:sz w:val="23"/>
        </w:rPr>
      </w:pPr>
    </w:p>
    <w:p w14:paraId="2CBE44F7" w14:textId="77777777" w:rsidR="00931785" w:rsidRDefault="00050DE9">
      <w:pPr>
        <w:pStyle w:val="ListParagraph"/>
        <w:numPr>
          <w:ilvl w:val="1"/>
          <w:numId w:val="2"/>
        </w:numPr>
        <w:tabs>
          <w:tab w:val="left" w:pos="2160"/>
          <w:tab w:val="left" w:pos="2161"/>
        </w:tabs>
        <w:ind w:hanging="361"/>
        <w:rPr>
          <w:sz w:val="24"/>
        </w:rPr>
      </w:pPr>
      <w:r>
        <w:rPr>
          <w:sz w:val="24"/>
        </w:rPr>
        <w:t>A building fraud perpetrated on a householder;</w:t>
      </w:r>
      <w:r>
        <w:rPr>
          <w:spacing w:val="-6"/>
          <w:sz w:val="24"/>
        </w:rPr>
        <w:t xml:space="preserve"> </w:t>
      </w:r>
      <w:r>
        <w:rPr>
          <w:sz w:val="24"/>
        </w:rPr>
        <w:t>or</w:t>
      </w:r>
    </w:p>
    <w:p w14:paraId="1A6881E9" w14:textId="77777777" w:rsidR="00931785" w:rsidRDefault="00050DE9">
      <w:pPr>
        <w:pStyle w:val="ListParagraph"/>
        <w:numPr>
          <w:ilvl w:val="1"/>
          <w:numId w:val="2"/>
        </w:numPr>
        <w:tabs>
          <w:tab w:val="left" w:pos="2160"/>
          <w:tab w:val="left" w:pos="2161"/>
        </w:tabs>
        <w:ind w:hanging="361"/>
        <w:rPr>
          <w:sz w:val="24"/>
        </w:rPr>
      </w:pPr>
      <w:r>
        <w:rPr>
          <w:sz w:val="24"/>
        </w:rPr>
        <w:t>Selling clocked cars over a sustained period;</w:t>
      </w:r>
      <w:r>
        <w:rPr>
          <w:spacing w:val="-3"/>
          <w:sz w:val="24"/>
        </w:rPr>
        <w:t xml:space="preserve"> </w:t>
      </w:r>
      <w:r>
        <w:rPr>
          <w:sz w:val="24"/>
        </w:rPr>
        <w:t>or</w:t>
      </w:r>
    </w:p>
    <w:p w14:paraId="364C9ABE" w14:textId="77777777" w:rsidR="00931785" w:rsidRDefault="00050DE9">
      <w:pPr>
        <w:pStyle w:val="ListParagraph"/>
        <w:numPr>
          <w:ilvl w:val="1"/>
          <w:numId w:val="2"/>
        </w:numPr>
        <w:tabs>
          <w:tab w:val="left" w:pos="2160"/>
          <w:tab w:val="left" w:pos="2161"/>
        </w:tabs>
        <w:ind w:hanging="361"/>
        <w:rPr>
          <w:sz w:val="24"/>
        </w:rPr>
      </w:pPr>
      <w:r>
        <w:rPr>
          <w:sz w:val="24"/>
        </w:rPr>
        <w:t>Selling counterfeit</w:t>
      </w:r>
      <w:r>
        <w:rPr>
          <w:spacing w:val="-1"/>
          <w:sz w:val="24"/>
        </w:rPr>
        <w:t xml:space="preserve"> </w:t>
      </w:r>
      <w:r>
        <w:rPr>
          <w:sz w:val="24"/>
        </w:rPr>
        <w:t>goods.</w:t>
      </w:r>
    </w:p>
    <w:p w14:paraId="33D92F5C" w14:textId="77777777" w:rsidR="00931785" w:rsidRDefault="00931785">
      <w:pPr>
        <w:pStyle w:val="BodyText"/>
        <w:spacing w:before="11"/>
        <w:rPr>
          <w:sz w:val="23"/>
        </w:rPr>
      </w:pPr>
    </w:p>
    <w:p w14:paraId="2DFAA913" w14:textId="77777777" w:rsidR="00931785" w:rsidRDefault="00050DE9">
      <w:pPr>
        <w:pStyle w:val="BodyText"/>
        <w:ind w:left="1440" w:right="1436"/>
        <w:jc w:val="both"/>
      </w:pPr>
      <w:r>
        <w:t>In each of these cases it is right that the PPP consider whether asset recovery proceedings are appropriate within the legal framework set out under the Proceeds of Crime Act 2002. This is exactly what the law was designed to achieve. Where appropriate any confiscation proceedings will be conducted with a view to achieving compensation for the identified victims of the crimes that the defendant was convicted of.</w:t>
      </w:r>
    </w:p>
    <w:p w14:paraId="043510C7" w14:textId="77777777" w:rsidR="00931785" w:rsidRDefault="00931785">
      <w:pPr>
        <w:pStyle w:val="BodyText"/>
        <w:spacing w:before="2"/>
      </w:pPr>
    </w:p>
    <w:p w14:paraId="02D151BA" w14:textId="77777777" w:rsidR="00931785" w:rsidRDefault="00050DE9">
      <w:pPr>
        <w:pStyle w:val="BodyText"/>
        <w:ind w:left="1440" w:right="1439"/>
        <w:jc w:val="both"/>
      </w:pPr>
      <w:r>
        <w:t>Where assets are recovered through confiscation the investigating body and the prosecutor receive a proportion of those assets under the terms of the Asset Recovery Incentivisation Scheme (ARIS). This is a scheme set up and promoted by the Home Office to encourage agencies to take the benefit out of crime by allowing some of the money recovered back to the agency to be allocated for specific purposes. The purpose of this policy is to agree how any monies received are to be allocated.</w:t>
      </w:r>
    </w:p>
    <w:p w14:paraId="3338FF39" w14:textId="77777777" w:rsidR="00931785" w:rsidRDefault="00931785">
      <w:pPr>
        <w:pStyle w:val="BodyText"/>
        <w:spacing w:before="5"/>
        <w:rPr>
          <w:sz w:val="19"/>
        </w:rPr>
      </w:pPr>
    </w:p>
    <w:p w14:paraId="2CA3FF75" w14:textId="77777777" w:rsidR="00931785" w:rsidRDefault="00050DE9">
      <w:pPr>
        <w:pStyle w:val="Heading1"/>
        <w:numPr>
          <w:ilvl w:val="0"/>
          <w:numId w:val="2"/>
        </w:numPr>
        <w:tabs>
          <w:tab w:val="left" w:pos="1801"/>
        </w:tabs>
        <w:ind w:hanging="361"/>
      </w:pPr>
      <w:bookmarkStart w:id="2" w:name="_Toc129093039"/>
      <w:r>
        <w:rPr>
          <w:color w:val="4F81BC"/>
        </w:rPr>
        <w:t>Allocation under the</w:t>
      </w:r>
      <w:r>
        <w:rPr>
          <w:color w:val="4F81BC"/>
          <w:spacing w:val="-3"/>
        </w:rPr>
        <w:t xml:space="preserve"> </w:t>
      </w:r>
      <w:r>
        <w:rPr>
          <w:color w:val="4F81BC"/>
        </w:rPr>
        <w:t>Scheme</w:t>
      </w:r>
      <w:bookmarkEnd w:id="2"/>
    </w:p>
    <w:p w14:paraId="2A8BFC81" w14:textId="77777777" w:rsidR="00931785" w:rsidRDefault="00050DE9">
      <w:pPr>
        <w:pStyle w:val="BodyText"/>
        <w:spacing w:before="63"/>
        <w:ind w:left="1440"/>
        <w:jc w:val="both"/>
      </w:pPr>
      <w:r>
        <w:t>The Home Office retains 50% of all seized assets, the other 50% is divided as follows:</w:t>
      </w:r>
    </w:p>
    <w:p w14:paraId="5762A1E6" w14:textId="77777777" w:rsidR="00931785" w:rsidRDefault="00931785">
      <w:pPr>
        <w:pStyle w:val="BodyText"/>
        <w:spacing w:before="11"/>
        <w:rPr>
          <w:sz w:val="23"/>
        </w:rPr>
      </w:pPr>
    </w:p>
    <w:p w14:paraId="7DE9E7DE" w14:textId="77777777" w:rsidR="00931785" w:rsidRDefault="00050DE9">
      <w:pPr>
        <w:pStyle w:val="BodyText"/>
        <w:spacing w:before="1"/>
        <w:ind w:left="1440" w:right="7918"/>
      </w:pPr>
      <w:r>
        <w:t>Investigation – 18.75% Prosecution – 18.75% and</w:t>
      </w:r>
    </w:p>
    <w:p w14:paraId="11711E65" w14:textId="77777777" w:rsidR="00931785" w:rsidRDefault="00050DE9">
      <w:pPr>
        <w:pStyle w:val="BodyText"/>
        <w:ind w:left="1440"/>
      </w:pPr>
      <w:r>
        <w:t>Enforcement (through the courts) – 12.5%.</w:t>
      </w:r>
    </w:p>
    <w:p w14:paraId="3BA7CE27" w14:textId="77777777" w:rsidR="00931785" w:rsidRDefault="00931785">
      <w:pPr>
        <w:pStyle w:val="BodyText"/>
        <w:spacing w:before="12"/>
        <w:rPr>
          <w:sz w:val="23"/>
        </w:rPr>
      </w:pPr>
    </w:p>
    <w:p w14:paraId="2F9C7042" w14:textId="77777777" w:rsidR="00931785" w:rsidRDefault="00050DE9">
      <w:pPr>
        <w:pStyle w:val="BodyText"/>
        <w:ind w:left="1440" w:right="1433"/>
        <w:jc w:val="both"/>
      </w:pPr>
      <w:r>
        <w:t>The PPP operates within established financial rules and has set up a separate cost centre to hold all monies received from the Home Office. There are no income targets on the cost centre protecting its integrity for the purpose intended – preventing, reducing and tackling crime. It is expected that the PPP can account for their use of incentive payments on an</w:t>
      </w:r>
    </w:p>
    <w:p w14:paraId="1F8B4F66" w14:textId="77777777" w:rsidR="00931785" w:rsidRDefault="00931785">
      <w:pPr>
        <w:jc w:val="both"/>
        <w:sectPr w:rsidR="00931785">
          <w:pgSz w:w="11910" w:h="16840"/>
          <w:pgMar w:top="1400" w:right="0" w:bottom="840" w:left="0" w:header="0" w:footer="651" w:gutter="0"/>
          <w:cols w:space="720"/>
        </w:sectPr>
      </w:pPr>
    </w:p>
    <w:p w14:paraId="3E71B11B" w14:textId="77777777" w:rsidR="00931785" w:rsidRDefault="00050DE9">
      <w:pPr>
        <w:pStyle w:val="BodyText"/>
        <w:spacing w:before="41"/>
        <w:ind w:left="1440" w:right="1443"/>
        <w:jc w:val="both"/>
      </w:pPr>
      <w:r>
        <w:lastRenderedPageBreak/>
        <w:t>annual basis and the service is required to provide a return to the Home Office setting out in detail how the money is spent and making declarations to that effect.</w:t>
      </w:r>
    </w:p>
    <w:p w14:paraId="2AA4235D" w14:textId="77777777" w:rsidR="00931785" w:rsidRDefault="00931785">
      <w:pPr>
        <w:pStyle w:val="BodyText"/>
        <w:spacing w:before="6"/>
        <w:rPr>
          <w:sz w:val="19"/>
        </w:rPr>
      </w:pPr>
    </w:p>
    <w:p w14:paraId="75ED765B" w14:textId="77777777" w:rsidR="00931785" w:rsidRDefault="00050DE9">
      <w:pPr>
        <w:pStyle w:val="Heading1"/>
        <w:numPr>
          <w:ilvl w:val="0"/>
          <w:numId w:val="2"/>
        </w:numPr>
        <w:tabs>
          <w:tab w:val="left" w:pos="1801"/>
        </w:tabs>
        <w:ind w:hanging="361"/>
      </w:pPr>
      <w:bookmarkStart w:id="3" w:name="_Toc129093040"/>
      <w:r>
        <w:rPr>
          <w:color w:val="4F81BC"/>
        </w:rPr>
        <w:t>Home Office</w:t>
      </w:r>
      <w:r>
        <w:rPr>
          <w:color w:val="4F81BC"/>
          <w:spacing w:val="-3"/>
        </w:rPr>
        <w:t xml:space="preserve"> </w:t>
      </w:r>
      <w:r>
        <w:rPr>
          <w:color w:val="4F81BC"/>
        </w:rPr>
        <w:t>Requirements</w:t>
      </w:r>
      <w:bookmarkEnd w:id="3"/>
    </w:p>
    <w:p w14:paraId="31E27D84" w14:textId="77777777" w:rsidR="00931785" w:rsidRDefault="00931785">
      <w:pPr>
        <w:pStyle w:val="BodyText"/>
        <w:spacing w:before="1"/>
        <w:rPr>
          <w:b/>
          <w:sz w:val="29"/>
        </w:rPr>
      </w:pPr>
    </w:p>
    <w:p w14:paraId="58F5FF8D" w14:textId="77777777" w:rsidR="00931785" w:rsidRDefault="00050DE9">
      <w:pPr>
        <w:pStyle w:val="BodyText"/>
        <w:ind w:left="1440" w:right="1442"/>
        <w:jc w:val="both"/>
      </w:pPr>
      <w:r>
        <w:t>Based on published guidance from the Home Office Organised and Financial Crime Unit about ARIS, the clear intention is to use incentive payments to be used to ‘further drive up performance on asset recovery and, where appropriate, to fund local crime fighting priorities for the benefit of the</w:t>
      </w:r>
      <w:r>
        <w:rPr>
          <w:spacing w:val="-7"/>
        </w:rPr>
        <w:t xml:space="preserve"> </w:t>
      </w:r>
      <w:r>
        <w:t>community’.</w:t>
      </w:r>
    </w:p>
    <w:p w14:paraId="7059B2D0" w14:textId="77777777" w:rsidR="00931785" w:rsidRDefault="00931785">
      <w:pPr>
        <w:pStyle w:val="BodyText"/>
        <w:spacing w:before="11"/>
        <w:rPr>
          <w:sz w:val="23"/>
        </w:rPr>
      </w:pPr>
    </w:p>
    <w:p w14:paraId="3C2DD9A9" w14:textId="77777777" w:rsidR="00931785" w:rsidRDefault="00050DE9">
      <w:pPr>
        <w:pStyle w:val="BodyText"/>
        <w:spacing w:before="1"/>
        <w:ind w:left="1440" w:right="1438"/>
        <w:jc w:val="both"/>
      </w:pPr>
      <w:r>
        <w:t>It is also important to note that the operational management of Public Protection is set up to sufficiently divide investigation and the decision to prosecute, there should be no ability to select cases based on possible financial investigations. Distinct strategic and tactical assessments determining local priorities will be the key driver for the types of criminal activity being</w:t>
      </w:r>
      <w:r>
        <w:rPr>
          <w:spacing w:val="-1"/>
        </w:rPr>
        <w:t xml:space="preserve"> </w:t>
      </w:r>
      <w:r>
        <w:t>investigated.</w:t>
      </w:r>
    </w:p>
    <w:p w14:paraId="46040B3A" w14:textId="77777777" w:rsidR="00931785" w:rsidRDefault="00931785">
      <w:pPr>
        <w:pStyle w:val="BodyText"/>
        <w:spacing w:before="8"/>
        <w:rPr>
          <w:sz w:val="19"/>
        </w:rPr>
      </w:pPr>
    </w:p>
    <w:p w14:paraId="242F79F4" w14:textId="77777777" w:rsidR="00931785" w:rsidRDefault="00050DE9">
      <w:pPr>
        <w:pStyle w:val="Heading1"/>
        <w:numPr>
          <w:ilvl w:val="0"/>
          <w:numId w:val="2"/>
        </w:numPr>
        <w:tabs>
          <w:tab w:val="left" w:pos="1801"/>
        </w:tabs>
        <w:ind w:hanging="361"/>
      </w:pPr>
      <w:bookmarkStart w:id="4" w:name="_Toc129093041"/>
      <w:r>
        <w:rPr>
          <w:color w:val="4F81BC"/>
        </w:rPr>
        <w:t>Disbursements</w:t>
      </w:r>
      <w:bookmarkEnd w:id="4"/>
    </w:p>
    <w:p w14:paraId="4C663CDD" w14:textId="77777777" w:rsidR="00931785" w:rsidRDefault="00050DE9">
      <w:pPr>
        <w:pStyle w:val="BodyText"/>
        <w:spacing w:before="60"/>
        <w:ind w:left="1440" w:right="1436"/>
        <w:jc w:val="both"/>
      </w:pPr>
      <w:r>
        <w:t>The nature of the service will inevitably lead to costs being incurred to investigate primarily criminal activity. These costs range from barrister fees, expert witnesses through to sampling and product testing. In the concluding stages of an investigation it is normal practice for the service to advise legal services of their costs. In court solicitors request recovery of these costs from the defendant and they are referred to as</w:t>
      </w:r>
      <w:r>
        <w:rPr>
          <w:spacing w:val="-25"/>
        </w:rPr>
        <w:t xml:space="preserve"> </w:t>
      </w:r>
      <w:r>
        <w:t>‘Disbursements’.</w:t>
      </w:r>
    </w:p>
    <w:p w14:paraId="0939BF1C" w14:textId="77777777" w:rsidR="00931785" w:rsidRDefault="00931785">
      <w:pPr>
        <w:pStyle w:val="BodyText"/>
        <w:spacing w:before="1"/>
      </w:pPr>
    </w:p>
    <w:p w14:paraId="076539F7" w14:textId="77777777" w:rsidR="00931785" w:rsidRDefault="00050DE9">
      <w:pPr>
        <w:pStyle w:val="BodyText"/>
        <w:ind w:left="1440"/>
        <w:jc w:val="both"/>
      </w:pPr>
      <w:r>
        <w:t>On occasion it is not possible to recover the full amount and it is intended that initially</w:t>
      </w:r>
    </w:p>
    <w:p w14:paraId="516D7353" w14:textId="77777777" w:rsidR="00931785" w:rsidRDefault="00050DE9">
      <w:pPr>
        <w:pStyle w:val="BodyText"/>
        <w:ind w:left="1440" w:right="1435"/>
        <w:jc w:val="both"/>
      </w:pPr>
      <w:r>
        <w:t>£100k of the existing POCA reserve shall be allocated as a reserve to pay disbursements where costs are not recovered fully as a result of prosecution activity. This is in addition to funding already identified in existing revenue budgets and money recovered through regional and national grant funding. The mechanisms for dealing with exceptional costs set out in the Inter Authority Agreement apply should this matter need to be revisited.</w:t>
      </w:r>
    </w:p>
    <w:p w14:paraId="6EEE12A3" w14:textId="77777777" w:rsidR="00931785" w:rsidRDefault="00931785">
      <w:pPr>
        <w:pStyle w:val="BodyText"/>
        <w:spacing w:before="12"/>
        <w:rPr>
          <w:sz w:val="23"/>
        </w:rPr>
      </w:pPr>
    </w:p>
    <w:p w14:paraId="3E4DEF1A" w14:textId="77777777" w:rsidR="00931785" w:rsidRDefault="00050DE9">
      <w:pPr>
        <w:pStyle w:val="BodyText"/>
        <w:ind w:left="1440" w:right="1444"/>
        <w:jc w:val="both"/>
      </w:pPr>
      <w:r>
        <w:t>The existence or not of any reserve shall have no bearing on the decision to prosecute. Each case will be treated on its merits and considered against the enforcement policy.</w:t>
      </w:r>
    </w:p>
    <w:p w14:paraId="4EDA83E6" w14:textId="77777777" w:rsidR="00931785" w:rsidRDefault="00931785">
      <w:pPr>
        <w:pStyle w:val="BodyText"/>
        <w:spacing w:before="6"/>
        <w:rPr>
          <w:sz w:val="19"/>
        </w:rPr>
      </w:pPr>
    </w:p>
    <w:p w14:paraId="3002E506" w14:textId="77777777" w:rsidR="00931785" w:rsidRDefault="00050DE9">
      <w:pPr>
        <w:pStyle w:val="Heading1"/>
        <w:numPr>
          <w:ilvl w:val="0"/>
          <w:numId w:val="2"/>
        </w:numPr>
        <w:tabs>
          <w:tab w:val="left" w:pos="1801"/>
        </w:tabs>
        <w:ind w:hanging="361"/>
      </w:pPr>
      <w:bookmarkStart w:id="5" w:name="_Toc129093042"/>
      <w:r>
        <w:rPr>
          <w:color w:val="4F81BC"/>
        </w:rPr>
        <w:t>Public Protection Investment</w:t>
      </w:r>
      <w:r>
        <w:rPr>
          <w:color w:val="4F81BC"/>
          <w:spacing w:val="-4"/>
        </w:rPr>
        <w:t xml:space="preserve"> </w:t>
      </w:r>
      <w:r>
        <w:rPr>
          <w:color w:val="4F81BC"/>
        </w:rPr>
        <w:t>Priorities</w:t>
      </w:r>
      <w:bookmarkEnd w:id="5"/>
    </w:p>
    <w:p w14:paraId="7A18E22E" w14:textId="77777777" w:rsidR="00931785" w:rsidRDefault="00050DE9">
      <w:pPr>
        <w:pStyle w:val="BodyText"/>
        <w:spacing w:before="62"/>
        <w:ind w:left="1440" w:right="1433"/>
        <w:jc w:val="both"/>
      </w:pPr>
      <w:r>
        <w:t>The service has developed a specific skill set over time and now employs professional and technical staff to maintain an ability to investigate, enforce and prosecute criminal activity. These officers are supported by non operational case management officers. This helps ensure competent and compliant investigations that are conducted within the prevailing legal framework.</w:t>
      </w:r>
    </w:p>
    <w:p w14:paraId="27A9F819" w14:textId="77777777" w:rsidR="00931785" w:rsidRDefault="00931785">
      <w:pPr>
        <w:pStyle w:val="BodyText"/>
        <w:spacing w:before="2"/>
      </w:pPr>
    </w:p>
    <w:p w14:paraId="3E9F9473" w14:textId="77777777" w:rsidR="00931785" w:rsidRDefault="00050DE9">
      <w:pPr>
        <w:pStyle w:val="BodyText"/>
        <w:ind w:left="1440" w:right="1442"/>
        <w:jc w:val="both"/>
      </w:pPr>
      <w:r>
        <w:t>If and once the disbursement reserve has been identified and set aside it is proposed that any money is allocated to the following priority areas:</w:t>
      </w:r>
    </w:p>
    <w:p w14:paraId="0B0ED08E" w14:textId="77777777" w:rsidR="00931785" w:rsidRDefault="00931785">
      <w:pPr>
        <w:pStyle w:val="BodyText"/>
        <w:spacing w:before="12"/>
        <w:rPr>
          <w:sz w:val="23"/>
        </w:rPr>
      </w:pPr>
    </w:p>
    <w:p w14:paraId="526383B8" w14:textId="77777777" w:rsidR="00931785" w:rsidRDefault="00050DE9">
      <w:pPr>
        <w:pStyle w:val="ListParagraph"/>
        <w:numPr>
          <w:ilvl w:val="1"/>
          <w:numId w:val="2"/>
        </w:numPr>
        <w:tabs>
          <w:tab w:val="left" w:pos="2520"/>
          <w:tab w:val="left" w:pos="2521"/>
        </w:tabs>
        <w:spacing w:line="293" w:lineRule="exact"/>
        <w:ind w:left="2520" w:hanging="361"/>
        <w:rPr>
          <w:sz w:val="24"/>
        </w:rPr>
      </w:pPr>
      <w:r>
        <w:rPr>
          <w:sz w:val="24"/>
        </w:rPr>
        <w:t>Additional Accredited Financial Investigator</w:t>
      </w:r>
      <w:r>
        <w:rPr>
          <w:spacing w:val="2"/>
          <w:sz w:val="24"/>
        </w:rPr>
        <w:t xml:space="preserve"> </w:t>
      </w:r>
      <w:r>
        <w:rPr>
          <w:sz w:val="24"/>
        </w:rPr>
        <w:t>resource;</w:t>
      </w:r>
    </w:p>
    <w:p w14:paraId="4EC10328" w14:textId="77777777" w:rsidR="00931785" w:rsidRDefault="00050DE9">
      <w:pPr>
        <w:pStyle w:val="ListParagraph"/>
        <w:numPr>
          <w:ilvl w:val="1"/>
          <w:numId w:val="2"/>
        </w:numPr>
        <w:tabs>
          <w:tab w:val="left" w:pos="2520"/>
          <w:tab w:val="left" w:pos="2521"/>
        </w:tabs>
        <w:ind w:left="2520" w:hanging="361"/>
        <w:rPr>
          <w:sz w:val="24"/>
        </w:rPr>
      </w:pPr>
      <w:r>
        <w:rPr>
          <w:sz w:val="24"/>
        </w:rPr>
        <w:t>Communications to reduce crime through prevention and increased</w:t>
      </w:r>
      <w:r>
        <w:rPr>
          <w:spacing w:val="-8"/>
          <w:sz w:val="24"/>
        </w:rPr>
        <w:t xml:space="preserve"> </w:t>
      </w:r>
      <w:r>
        <w:rPr>
          <w:sz w:val="24"/>
        </w:rPr>
        <w:t>reporting;</w:t>
      </w:r>
    </w:p>
    <w:p w14:paraId="5DA30326" w14:textId="77777777" w:rsidR="00931785" w:rsidRDefault="00931785">
      <w:pPr>
        <w:rPr>
          <w:sz w:val="24"/>
        </w:rPr>
        <w:sectPr w:rsidR="00931785">
          <w:pgSz w:w="11910" w:h="16840"/>
          <w:pgMar w:top="1380" w:right="0" w:bottom="840" w:left="0" w:header="0" w:footer="651" w:gutter="0"/>
          <w:cols w:space="720"/>
        </w:sectPr>
      </w:pPr>
    </w:p>
    <w:p w14:paraId="51BCBF0A" w14:textId="77777777" w:rsidR="00931785" w:rsidRDefault="00050DE9">
      <w:pPr>
        <w:pStyle w:val="ListParagraph"/>
        <w:numPr>
          <w:ilvl w:val="1"/>
          <w:numId w:val="2"/>
        </w:numPr>
        <w:tabs>
          <w:tab w:val="left" w:pos="2521"/>
        </w:tabs>
        <w:spacing w:before="61"/>
        <w:ind w:left="2520" w:right="1436"/>
        <w:jc w:val="both"/>
        <w:rPr>
          <w:sz w:val="24"/>
        </w:rPr>
      </w:pPr>
      <w:r>
        <w:rPr>
          <w:sz w:val="24"/>
        </w:rPr>
        <w:lastRenderedPageBreak/>
        <w:t>Trading Standards or Environmental Health professionals who are deployed on specific crime related matters e.g. the current Fraud Victim Support Officer posts assisting victims identified through Operation Lockram.</w:t>
      </w:r>
    </w:p>
    <w:p w14:paraId="50F9D499" w14:textId="77777777" w:rsidR="00931785" w:rsidRDefault="00931785">
      <w:pPr>
        <w:pStyle w:val="BodyText"/>
        <w:spacing w:before="12"/>
        <w:rPr>
          <w:sz w:val="23"/>
        </w:rPr>
      </w:pPr>
    </w:p>
    <w:p w14:paraId="1B5DD5FD" w14:textId="77777777" w:rsidR="00931785" w:rsidRDefault="00050DE9">
      <w:pPr>
        <w:pStyle w:val="BodyText"/>
        <w:ind w:left="1440" w:right="1435"/>
        <w:jc w:val="both"/>
      </w:pPr>
      <w:r>
        <w:t>Any posts funded from POCA will only be done so from existing POCA funds. After the disbursements reserve has been identified it is anticipated that no more than 80% of total POCA reserves are spent on this area of the service.</w:t>
      </w:r>
    </w:p>
    <w:p w14:paraId="79E70DAB" w14:textId="77777777" w:rsidR="00931785" w:rsidRDefault="00931785">
      <w:pPr>
        <w:pStyle w:val="BodyText"/>
        <w:spacing w:before="5"/>
        <w:rPr>
          <w:sz w:val="19"/>
        </w:rPr>
      </w:pPr>
    </w:p>
    <w:p w14:paraId="1D75882F" w14:textId="77777777" w:rsidR="00931785" w:rsidRDefault="00931785">
      <w:pPr>
        <w:pStyle w:val="BodyText"/>
        <w:spacing w:before="6"/>
        <w:rPr>
          <w:sz w:val="19"/>
        </w:rPr>
      </w:pPr>
    </w:p>
    <w:p w14:paraId="40F629B2" w14:textId="77777777" w:rsidR="00931785" w:rsidRDefault="00050DE9">
      <w:pPr>
        <w:pStyle w:val="Heading1"/>
        <w:numPr>
          <w:ilvl w:val="0"/>
          <w:numId w:val="2"/>
        </w:numPr>
        <w:tabs>
          <w:tab w:val="left" w:pos="1801"/>
        </w:tabs>
        <w:ind w:hanging="361"/>
      </w:pPr>
      <w:bookmarkStart w:id="6" w:name="_Toc129093043"/>
      <w:r>
        <w:rPr>
          <w:color w:val="4F81BC"/>
        </w:rPr>
        <w:t>Communications</w:t>
      </w:r>
      <w:bookmarkEnd w:id="6"/>
    </w:p>
    <w:p w14:paraId="3EAA7B77" w14:textId="2E8C264C" w:rsidR="00931785" w:rsidRDefault="004C455B">
      <w:pPr>
        <w:pStyle w:val="BodyText"/>
        <w:spacing w:before="63"/>
        <w:ind w:left="1440" w:right="1435"/>
        <w:jc w:val="both"/>
      </w:pPr>
      <w:r w:rsidRPr="004C455B">
        <w:t xml:space="preserve">The </w:t>
      </w:r>
      <w:r w:rsidR="00050DE9" w:rsidRPr="004C455B">
        <w:t xml:space="preserve">Communication </w:t>
      </w:r>
      <w:r w:rsidRPr="004C455B">
        <w:t xml:space="preserve">Strategy will ensure that one of </w:t>
      </w:r>
      <w:r w:rsidR="00050DE9" w:rsidRPr="004C455B">
        <w:t xml:space="preserve">the ‘key messages’ being sent out to target </w:t>
      </w:r>
      <w:r w:rsidRPr="004C455B">
        <w:t xml:space="preserve">audiences is </w:t>
      </w:r>
      <w:r w:rsidR="00050DE9" w:rsidRPr="004C455B">
        <w:t>that crime does not pay.</w:t>
      </w:r>
    </w:p>
    <w:p w14:paraId="2D4F49FD" w14:textId="77777777" w:rsidR="00931785" w:rsidRDefault="00931785">
      <w:pPr>
        <w:jc w:val="both"/>
        <w:sectPr w:rsidR="00931785">
          <w:pgSz w:w="11910" w:h="16840"/>
          <w:pgMar w:top="1360" w:right="0" w:bottom="840" w:left="0" w:header="0" w:footer="651" w:gutter="0"/>
          <w:cols w:space="720"/>
        </w:sectPr>
      </w:pPr>
    </w:p>
    <w:p w14:paraId="55D64CDF" w14:textId="77777777" w:rsidR="00931785" w:rsidRDefault="00050DE9">
      <w:pPr>
        <w:pStyle w:val="Heading1"/>
        <w:spacing w:before="19"/>
        <w:ind w:left="1440" w:firstLine="0"/>
      </w:pPr>
      <w:bookmarkStart w:id="7" w:name="_Toc129093044"/>
      <w:r>
        <w:rPr>
          <w:color w:val="4F81BC"/>
        </w:rPr>
        <w:lastRenderedPageBreak/>
        <w:t>REFERENCES</w:t>
      </w:r>
      <w:bookmarkEnd w:id="7"/>
    </w:p>
    <w:p w14:paraId="194FD850" w14:textId="77777777" w:rsidR="00931785" w:rsidRDefault="00050DE9">
      <w:pPr>
        <w:pStyle w:val="ListParagraph"/>
        <w:numPr>
          <w:ilvl w:val="0"/>
          <w:numId w:val="1"/>
        </w:numPr>
        <w:tabs>
          <w:tab w:val="left" w:pos="2161"/>
        </w:tabs>
        <w:spacing w:before="63"/>
        <w:ind w:right="1654"/>
        <w:rPr>
          <w:sz w:val="24"/>
        </w:rPr>
      </w:pPr>
      <w:r>
        <w:rPr>
          <w:sz w:val="24"/>
        </w:rPr>
        <w:t>House of Commons Home Affairs Committee – Proceeds of Crime 5</w:t>
      </w:r>
      <w:r>
        <w:rPr>
          <w:sz w:val="24"/>
          <w:vertAlign w:val="superscript"/>
        </w:rPr>
        <w:t>th</w:t>
      </w:r>
      <w:r>
        <w:rPr>
          <w:sz w:val="24"/>
        </w:rPr>
        <w:t xml:space="preserve"> Report of Session 2016-17</w:t>
      </w:r>
      <w:hyperlink r:id="rId10">
        <w:r>
          <w:rPr>
            <w:color w:val="0000FF"/>
            <w:sz w:val="24"/>
            <w:u w:val="single" w:color="0000FF"/>
          </w:rPr>
          <w:t xml:space="preserve"> </w:t>
        </w:r>
        <w:r>
          <w:rPr>
            <w:color w:val="0000FF"/>
            <w:spacing w:val="-1"/>
            <w:sz w:val="24"/>
            <w:u w:val="single" w:color="0000FF"/>
          </w:rPr>
          <w:t>http://www.publications.parliament.uk/pa/cm201617/cmselect/cmhaff/25/25.pdf</w:t>
        </w:r>
      </w:hyperlink>
    </w:p>
    <w:p w14:paraId="272A2B9D" w14:textId="77777777" w:rsidR="00931785" w:rsidRDefault="00931785">
      <w:pPr>
        <w:pStyle w:val="BodyText"/>
        <w:spacing w:before="8"/>
        <w:rPr>
          <w:sz w:val="19"/>
        </w:rPr>
      </w:pPr>
    </w:p>
    <w:p w14:paraId="17D7E281" w14:textId="77777777" w:rsidR="00931785" w:rsidRDefault="00050DE9">
      <w:pPr>
        <w:pStyle w:val="ListParagraph"/>
        <w:numPr>
          <w:ilvl w:val="0"/>
          <w:numId w:val="1"/>
        </w:numPr>
        <w:tabs>
          <w:tab w:val="left" w:pos="2161"/>
        </w:tabs>
        <w:spacing w:before="52"/>
        <w:ind w:right="1466"/>
        <w:rPr>
          <w:sz w:val="24"/>
        </w:rPr>
      </w:pPr>
      <w:r>
        <w:rPr>
          <w:sz w:val="24"/>
        </w:rPr>
        <w:t>Home Office POCA Guidance</w:t>
      </w:r>
      <w:hyperlink r:id="rId11">
        <w:r>
          <w:rPr>
            <w:color w:val="0000FF"/>
            <w:sz w:val="24"/>
            <w:u w:val="single" w:color="0000FF"/>
          </w:rPr>
          <w:t xml:space="preserve"> </w:t>
        </w:r>
        <w:r>
          <w:rPr>
            <w:color w:val="0000FF"/>
            <w:spacing w:val="-1"/>
            <w:sz w:val="24"/>
            <w:u w:val="single" w:color="0000FF"/>
          </w:rPr>
          <w:t>https://www.gov.uk/government/uploads/system/uploads/attachment_data/file/48</w:t>
        </w:r>
      </w:hyperlink>
      <w:hyperlink r:id="rId12">
        <w:r>
          <w:rPr>
            <w:color w:val="0000FF"/>
            <w:spacing w:val="-1"/>
            <w:sz w:val="24"/>
            <w:u w:val="single" w:color="0000FF"/>
          </w:rPr>
          <w:t xml:space="preserve"> </w:t>
        </w:r>
        <w:r>
          <w:rPr>
            <w:color w:val="0000FF"/>
            <w:sz w:val="24"/>
            <w:u w:val="single" w:color="0000FF"/>
          </w:rPr>
          <w:t>8531/POCA_2002_v2.0EXT_clean.pdf</w:t>
        </w:r>
      </w:hyperlink>
    </w:p>
    <w:p w14:paraId="501938BE" w14:textId="77777777" w:rsidR="00931785" w:rsidRDefault="00931785">
      <w:pPr>
        <w:pStyle w:val="BodyText"/>
        <w:spacing w:before="9"/>
        <w:rPr>
          <w:sz w:val="19"/>
        </w:rPr>
      </w:pPr>
    </w:p>
    <w:p w14:paraId="72A2AE9B" w14:textId="77777777" w:rsidR="00931785" w:rsidRDefault="00050DE9">
      <w:pPr>
        <w:pStyle w:val="ListParagraph"/>
        <w:numPr>
          <w:ilvl w:val="0"/>
          <w:numId w:val="1"/>
        </w:numPr>
        <w:tabs>
          <w:tab w:val="left" w:pos="2161"/>
        </w:tabs>
        <w:spacing w:before="51"/>
        <w:ind w:right="1538"/>
        <w:rPr>
          <w:sz w:val="24"/>
        </w:rPr>
      </w:pPr>
      <w:r>
        <w:rPr>
          <w:sz w:val="24"/>
        </w:rPr>
        <w:t>CPS – Arrangements for Implementation and Payment</w:t>
      </w:r>
      <w:hyperlink r:id="rId13">
        <w:r>
          <w:rPr>
            <w:color w:val="0000FF"/>
            <w:sz w:val="24"/>
            <w:u w:val="single" w:color="0000FF"/>
          </w:rPr>
          <w:t xml:space="preserve"> </w:t>
        </w:r>
        <w:r>
          <w:rPr>
            <w:color w:val="0000FF"/>
            <w:spacing w:val="-1"/>
            <w:sz w:val="24"/>
            <w:u w:val="single" w:color="0000FF"/>
          </w:rPr>
          <w:t>https://www.cps.gov.uk/publications/docs/foi_disclosures/2013/disclosure_22_sup</w:t>
        </w:r>
      </w:hyperlink>
      <w:hyperlink r:id="rId14">
        <w:r>
          <w:rPr>
            <w:color w:val="0000FF"/>
            <w:spacing w:val="-1"/>
            <w:sz w:val="24"/>
            <w:u w:val="single" w:color="0000FF"/>
          </w:rPr>
          <w:t xml:space="preserve"> </w:t>
        </w:r>
        <w:r>
          <w:rPr>
            <w:color w:val="0000FF"/>
            <w:sz w:val="24"/>
            <w:u w:val="single" w:color="0000FF"/>
          </w:rPr>
          <w:t>porting_data_2.pdf</w:t>
        </w:r>
      </w:hyperlink>
    </w:p>
    <w:p w14:paraId="66116B7D" w14:textId="77777777" w:rsidR="00931785" w:rsidRDefault="00931785">
      <w:pPr>
        <w:pStyle w:val="BodyText"/>
        <w:spacing w:before="4"/>
        <w:rPr>
          <w:sz w:val="18"/>
        </w:rPr>
      </w:pPr>
    </w:p>
    <w:p w14:paraId="45558BED" w14:textId="77777777" w:rsidR="00931785" w:rsidRDefault="00050DE9">
      <w:pPr>
        <w:pStyle w:val="ListParagraph"/>
        <w:numPr>
          <w:ilvl w:val="0"/>
          <w:numId w:val="1"/>
        </w:numPr>
        <w:tabs>
          <w:tab w:val="left" w:pos="2161"/>
        </w:tabs>
        <w:spacing w:before="71"/>
        <w:ind w:right="1486"/>
        <w:rPr>
          <w:sz w:val="24"/>
        </w:rPr>
      </w:pPr>
      <w:r>
        <w:rPr>
          <w:sz w:val="24"/>
        </w:rPr>
        <w:t>Public Accounts Committee 49</w:t>
      </w:r>
      <w:r>
        <w:rPr>
          <w:sz w:val="24"/>
          <w:vertAlign w:val="superscript"/>
        </w:rPr>
        <w:t>th</w:t>
      </w:r>
      <w:r>
        <w:rPr>
          <w:sz w:val="24"/>
        </w:rPr>
        <w:t xml:space="preserve"> Report – Confiscation Orders</w:t>
      </w:r>
      <w:hyperlink r:id="rId15">
        <w:r>
          <w:rPr>
            <w:color w:val="0000FF"/>
            <w:sz w:val="24"/>
            <w:u w:val="single" w:color="0000FF"/>
          </w:rPr>
          <w:t xml:space="preserve"> http://www.publications.parliament.uk/pa/cm201314/cmselect/cmpubacc/942/942</w:t>
        </w:r>
      </w:hyperlink>
      <w:hyperlink r:id="rId16">
        <w:r>
          <w:rPr>
            <w:color w:val="0000FF"/>
            <w:sz w:val="24"/>
            <w:u w:val="single" w:color="0000FF"/>
          </w:rPr>
          <w:t xml:space="preserve"> 02.htm</w:t>
        </w:r>
      </w:hyperlink>
    </w:p>
    <w:p w14:paraId="7DE5E40D" w14:textId="77777777" w:rsidR="00931785" w:rsidRDefault="00931785">
      <w:pPr>
        <w:pStyle w:val="BodyText"/>
        <w:spacing w:before="10"/>
        <w:rPr>
          <w:sz w:val="19"/>
        </w:rPr>
      </w:pPr>
    </w:p>
    <w:p w14:paraId="776AC892" w14:textId="77777777" w:rsidR="00931785" w:rsidRDefault="00050DE9">
      <w:pPr>
        <w:pStyle w:val="ListParagraph"/>
        <w:numPr>
          <w:ilvl w:val="0"/>
          <w:numId w:val="1"/>
        </w:numPr>
        <w:tabs>
          <w:tab w:val="left" w:pos="2161"/>
        </w:tabs>
        <w:spacing w:before="51"/>
        <w:ind w:right="1882"/>
        <w:rPr>
          <w:sz w:val="24"/>
        </w:rPr>
      </w:pPr>
      <w:r>
        <w:rPr>
          <w:sz w:val="24"/>
        </w:rPr>
        <w:t>‘The Home Affairs Select Committee proposes radical reforms to the proceeds</w:t>
      </w:r>
      <w:r>
        <w:rPr>
          <w:spacing w:val="-37"/>
          <w:sz w:val="24"/>
        </w:rPr>
        <w:t xml:space="preserve"> </w:t>
      </w:r>
      <w:r>
        <w:rPr>
          <w:sz w:val="24"/>
        </w:rPr>
        <w:t>of crime regime’ Thompson Reuters – Practical Law, Business Crime Blog</w:t>
      </w:r>
      <w:hyperlink r:id="rId17">
        <w:r>
          <w:rPr>
            <w:color w:val="0000FF"/>
            <w:sz w:val="24"/>
            <w:u w:val="single" w:color="0000FF"/>
          </w:rPr>
          <w:t xml:space="preserve"> http://businesscrimeblog.practicallaw.com/the-home-affairs-select-committee-</w:t>
        </w:r>
      </w:hyperlink>
      <w:hyperlink r:id="rId18">
        <w:r>
          <w:rPr>
            <w:color w:val="0000FF"/>
            <w:sz w:val="24"/>
            <w:u w:val="single" w:color="0000FF"/>
          </w:rPr>
          <w:t xml:space="preserve"> propose-radical-reforms-to-the-proceeds-of-crime-regime/</w:t>
        </w:r>
      </w:hyperlink>
    </w:p>
    <w:sectPr w:rsidR="00931785">
      <w:pgSz w:w="11910" w:h="16840"/>
      <w:pgMar w:top="1400" w:right="0" w:bottom="840" w:left="0" w:header="0" w:footer="6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78813" w14:textId="77777777" w:rsidR="00B90ABE" w:rsidRDefault="00B90ABE">
      <w:r>
        <w:separator/>
      </w:r>
    </w:p>
  </w:endnote>
  <w:endnote w:type="continuationSeparator" w:id="0">
    <w:p w14:paraId="740C740B" w14:textId="77777777" w:rsidR="00B90ABE" w:rsidRDefault="00B9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11F1" w14:textId="77777777" w:rsidR="00931785" w:rsidRDefault="00B90ABE">
    <w:pPr>
      <w:pStyle w:val="BodyText"/>
      <w:spacing w:line="14" w:lineRule="auto"/>
      <w:rPr>
        <w:sz w:val="20"/>
      </w:rPr>
    </w:pPr>
    <w:r>
      <w:pict w14:anchorId="75A101C3">
        <v:group id="_x0000_s2050" style="position:absolute;margin-left:80.5pt;margin-top:795.4pt;width:434.5pt;height:21.05pt;z-index:-251880448;mso-position-horizontal-relative:page;mso-position-vertical-relative:page" coordorigin="1610,15908" coordsize="8690,421">
          <v:line id="_x0000_s2053" style="position:absolute" from="1610,16118" to="10300,16118" strokecolor="gray" strokeweight="1pt"/>
          <v:shape id="_x0000_s2052" style="position:absolute;left:5531;top:15930;width:847;height:376" coordorigin="5531,15930" coordsize="847,376" path="m6315,15930r-721,l5569,15935r-20,13l5536,15968r-5,25l5531,16243r5,25l5549,16288r20,13l5594,16306r721,l6340,16301r20,-13l6373,16268r5,-25l6378,15993r-5,-25l6360,15948r-20,-13l6315,15930xe" stroked="f">
            <v:path arrowok="t"/>
          </v:shape>
          <v:shape id="_x0000_s2051" style="position:absolute;left:5531;top:15930;width:847;height:376" coordorigin="5531,15930" coordsize="847,376" o:spt="100" adj="0,,0" path="m5594,15930r-25,5l5549,15948r-13,20l5531,15993r,250l5536,16268r13,20l5569,16301r25,5m6315,15930r25,5l6360,15948r13,20l6378,15993r,250l6373,16268r-13,20l6340,16301r-25,5e" filled="f" strokecolor="gray" strokeweight="2.25pt">
            <v:stroke joinstyle="round"/>
            <v:formulas/>
            <v:path arrowok="t" o:connecttype="segments"/>
          </v:shape>
          <w10:wrap anchorx="page" anchory="page"/>
        </v:group>
      </w:pict>
    </w:r>
    <w:r>
      <w:pict w14:anchorId="3CCD9BE3">
        <v:shapetype id="_x0000_t202" coordsize="21600,21600" o:spt="202" path="m,l,21600r21600,l21600,xe">
          <v:stroke joinstyle="miter"/>
          <v:path gradientshapeok="t" o:connecttype="rect"/>
        </v:shapetype>
        <v:shape id="_x0000_s2049" type="#_x0000_t202" style="position:absolute;margin-left:291.8pt;margin-top:800pt;width:12.1pt;height:14pt;z-index:-251879424;mso-position-horizontal-relative:page;mso-position-vertical-relative:page" filled="f" stroked="f">
          <v:textbox inset="0,0,0,0">
            <w:txbxContent>
              <w:p w14:paraId="7E232B42" w14:textId="77777777" w:rsidR="00931785" w:rsidRDefault="00050DE9">
                <w:pPr>
                  <w:pStyle w:val="BodyText"/>
                  <w:spacing w:line="264" w:lineRule="exact"/>
                  <w:ind w:left="60"/>
                </w:pPr>
                <w:r>
                  <w:fldChar w:fldCharType="begin"/>
                </w:r>
                <w:r>
                  <w:instrText xml:space="preserve"> PAGE </w:instrText>
                </w:r>
                <w:r>
                  <w:fldChar w:fldCharType="separate"/>
                </w:r>
                <w:r w:rsidR="000B30A0">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E497F" w14:textId="77777777" w:rsidR="00B90ABE" w:rsidRDefault="00B90ABE">
      <w:r>
        <w:separator/>
      </w:r>
    </w:p>
  </w:footnote>
  <w:footnote w:type="continuationSeparator" w:id="0">
    <w:p w14:paraId="0329B1C5" w14:textId="77777777" w:rsidR="00B90ABE" w:rsidRDefault="00B90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1676"/>
    <w:multiLevelType w:val="hybridMultilevel"/>
    <w:tmpl w:val="9F52BC38"/>
    <w:lvl w:ilvl="0" w:tplc="64E4E4C6">
      <w:start w:val="1"/>
      <w:numFmt w:val="decimal"/>
      <w:lvlText w:val="%1."/>
      <w:lvlJc w:val="left"/>
      <w:pPr>
        <w:ind w:left="1879" w:hanging="440"/>
      </w:pPr>
      <w:rPr>
        <w:rFonts w:ascii="Calibri" w:eastAsia="Calibri" w:hAnsi="Calibri" w:cs="Calibri" w:hint="default"/>
        <w:spacing w:val="-2"/>
        <w:w w:val="100"/>
        <w:sz w:val="24"/>
        <w:szCs w:val="24"/>
        <w:lang w:val="en-US" w:eastAsia="en-US" w:bidi="en-US"/>
      </w:rPr>
    </w:lvl>
    <w:lvl w:ilvl="1" w:tplc="36B62B50">
      <w:numFmt w:val="bullet"/>
      <w:lvlText w:val="•"/>
      <w:lvlJc w:val="left"/>
      <w:pPr>
        <w:ind w:left="2882" w:hanging="440"/>
      </w:pPr>
      <w:rPr>
        <w:rFonts w:hint="default"/>
        <w:lang w:val="en-US" w:eastAsia="en-US" w:bidi="en-US"/>
      </w:rPr>
    </w:lvl>
    <w:lvl w:ilvl="2" w:tplc="F75E6AD6">
      <w:numFmt w:val="bullet"/>
      <w:lvlText w:val="•"/>
      <w:lvlJc w:val="left"/>
      <w:pPr>
        <w:ind w:left="3885" w:hanging="440"/>
      </w:pPr>
      <w:rPr>
        <w:rFonts w:hint="default"/>
        <w:lang w:val="en-US" w:eastAsia="en-US" w:bidi="en-US"/>
      </w:rPr>
    </w:lvl>
    <w:lvl w:ilvl="3" w:tplc="07D26F98">
      <w:numFmt w:val="bullet"/>
      <w:lvlText w:val="•"/>
      <w:lvlJc w:val="left"/>
      <w:pPr>
        <w:ind w:left="4887" w:hanging="440"/>
      </w:pPr>
      <w:rPr>
        <w:rFonts w:hint="default"/>
        <w:lang w:val="en-US" w:eastAsia="en-US" w:bidi="en-US"/>
      </w:rPr>
    </w:lvl>
    <w:lvl w:ilvl="4" w:tplc="B5C84FA4">
      <w:numFmt w:val="bullet"/>
      <w:lvlText w:val="•"/>
      <w:lvlJc w:val="left"/>
      <w:pPr>
        <w:ind w:left="5890" w:hanging="440"/>
      </w:pPr>
      <w:rPr>
        <w:rFonts w:hint="default"/>
        <w:lang w:val="en-US" w:eastAsia="en-US" w:bidi="en-US"/>
      </w:rPr>
    </w:lvl>
    <w:lvl w:ilvl="5" w:tplc="C5EA4756">
      <w:numFmt w:val="bullet"/>
      <w:lvlText w:val="•"/>
      <w:lvlJc w:val="left"/>
      <w:pPr>
        <w:ind w:left="6893" w:hanging="440"/>
      </w:pPr>
      <w:rPr>
        <w:rFonts w:hint="default"/>
        <w:lang w:val="en-US" w:eastAsia="en-US" w:bidi="en-US"/>
      </w:rPr>
    </w:lvl>
    <w:lvl w:ilvl="6" w:tplc="018CA7B4">
      <w:numFmt w:val="bullet"/>
      <w:lvlText w:val="•"/>
      <w:lvlJc w:val="left"/>
      <w:pPr>
        <w:ind w:left="7895" w:hanging="440"/>
      </w:pPr>
      <w:rPr>
        <w:rFonts w:hint="default"/>
        <w:lang w:val="en-US" w:eastAsia="en-US" w:bidi="en-US"/>
      </w:rPr>
    </w:lvl>
    <w:lvl w:ilvl="7" w:tplc="150CB7DE">
      <w:numFmt w:val="bullet"/>
      <w:lvlText w:val="•"/>
      <w:lvlJc w:val="left"/>
      <w:pPr>
        <w:ind w:left="8898" w:hanging="440"/>
      </w:pPr>
      <w:rPr>
        <w:rFonts w:hint="default"/>
        <w:lang w:val="en-US" w:eastAsia="en-US" w:bidi="en-US"/>
      </w:rPr>
    </w:lvl>
    <w:lvl w:ilvl="8" w:tplc="4B2EB15C">
      <w:numFmt w:val="bullet"/>
      <w:lvlText w:val="•"/>
      <w:lvlJc w:val="left"/>
      <w:pPr>
        <w:ind w:left="9901" w:hanging="440"/>
      </w:pPr>
      <w:rPr>
        <w:rFonts w:hint="default"/>
        <w:lang w:val="en-US" w:eastAsia="en-US" w:bidi="en-US"/>
      </w:rPr>
    </w:lvl>
  </w:abstractNum>
  <w:abstractNum w:abstractNumId="1" w15:restartNumberingAfterBreak="0">
    <w:nsid w:val="2ADB5DDA"/>
    <w:multiLevelType w:val="hybridMultilevel"/>
    <w:tmpl w:val="7AE05A7A"/>
    <w:lvl w:ilvl="0" w:tplc="4DA65650">
      <w:start w:val="1"/>
      <w:numFmt w:val="decimal"/>
      <w:lvlText w:val="%1."/>
      <w:lvlJc w:val="left"/>
      <w:pPr>
        <w:ind w:left="2160" w:hanging="360"/>
      </w:pPr>
      <w:rPr>
        <w:rFonts w:ascii="Calibri" w:eastAsia="Calibri" w:hAnsi="Calibri" w:cs="Calibri" w:hint="default"/>
        <w:spacing w:val="-3"/>
        <w:w w:val="97"/>
        <w:sz w:val="24"/>
        <w:szCs w:val="24"/>
        <w:lang w:val="en-US" w:eastAsia="en-US" w:bidi="en-US"/>
      </w:rPr>
    </w:lvl>
    <w:lvl w:ilvl="1" w:tplc="B99AC03C">
      <w:numFmt w:val="bullet"/>
      <w:lvlText w:val="•"/>
      <w:lvlJc w:val="left"/>
      <w:pPr>
        <w:ind w:left="3134" w:hanging="360"/>
      </w:pPr>
      <w:rPr>
        <w:rFonts w:hint="default"/>
        <w:lang w:val="en-US" w:eastAsia="en-US" w:bidi="en-US"/>
      </w:rPr>
    </w:lvl>
    <w:lvl w:ilvl="2" w:tplc="5AE8133C">
      <w:numFmt w:val="bullet"/>
      <w:lvlText w:val="•"/>
      <w:lvlJc w:val="left"/>
      <w:pPr>
        <w:ind w:left="4109" w:hanging="360"/>
      </w:pPr>
      <w:rPr>
        <w:rFonts w:hint="default"/>
        <w:lang w:val="en-US" w:eastAsia="en-US" w:bidi="en-US"/>
      </w:rPr>
    </w:lvl>
    <w:lvl w:ilvl="3" w:tplc="3B92B7F6">
      <w:numFmt w:val="bullet"/>
      <w:lvlText w:val="•"/>
      <w:lvlJc w:val="left"/>
      <w:pPr>
        <w:ind w:left="5083" w:hanging="360"/>
      </w:pPr>
      <w:rPr>
        <w:rFonts w:hint="default"/>
        <w:lang w:val="en-US" w:eastAsia="en-US" w:bidi="en-US"/>
      </w:rPr>
    </w:lvl>
    <w:lvl w:ilvl="4" w:tplc="01E6383A">
      <w:numFmt w:val="bullet"/>
      <w:lvlText w:val="•"/>
      <w:lvlJc w:val="left"/>
      <w:pPr>
        <w:ind w:left="6058" w:hanging="360"/>
      </w:pPr>
      <w:rPr>
        <w:rFonts w:hint="default"/>
        <w:lang w:val="en-US" w:eastAsia="en-US" w:bidi="en-US"/>
      </w:rPr>
    </w:lvl>
    <w:lvl w:ilvl="5" w:tplc="82D250C0">
      <w:numFmt w:val="bullet"/>
      <w:lvlText w:val="•"/>
      <w:lvlJc w:val="left"/>
      <w:pPr>
        <w:ind w:left="7033" w:hanging="360"/>
      </w:pPr>
      <w:rPr>
        <w:rFonts w:hint="default"/>
        <w:lang w:val="en-US" w:eastAsia="en-US" w:bidi="en-US"/>
      </w:rPr>
    </w:lvl>
    <w:lvl w:ilvl="6" w:tplc="35685190">
      <w:numFmt w:val="bullet"/>
      <w:lvlText w:val="•"/>
      <w:lvlJc w:val="left"/>
      <w:pPr>
        <w:ind w:left="8007" w:hanging="360"/>
      </w:pPr>
      <w:rPr>
        <w:rFonts w:hint="default"/>
        <w:lang w:val="en-US" w:eastAsia="en-US" w:bidi="en-US"/>
      </w:rPr>
    </w:lvl>
    <w:lvl w:ilvl="7" w:tplc="54163F18">
      <w:numFmt w:val="bullet"/>
      <w:lvlText w:val="•"/>
      <w:lvlJc w:val="left"/>
      <w:pPr>
        <w:ind w:left="8982" w:hanging="360"/>
      </w:pPr>
      <w:rPr>
        <w:rFonts w:hint="default"/>
        <w:lang w:val="en-US" w:eastAsia="en-US" w:bidi="en-US"/>
      </w:rPr>
    </w:lvl>
    <w:lvl w:ilvl="8" w:tplc="DC38FD22">
      <w:numFmt w:val="bullet"/>
      <w:lvlText w:val="•"/>
      <w:lvlJc w:val="left"/>
      <w:pPr>
        <w:ind w:left="9957" w:hanging="360"/>
      </w:pPr>
      <w:rPr>
        <w:rFonts w:hint="default"/>
        <w:lang w:val="en-US" w:eastAsia="en-US" w:bidi="en-US"/>
      </w:rPr>
    </w:lvl>
  </w:abstractNum>
  <w:abstractNum w:abstractNumId="2" w15:restartNumberingAfterBreak="0">
    <w:nsid w:val="4F2C1EB7"/>
    <w:multiLevelType w:val="hybridMultilevel"/>
    <w:tmpl w:val="112064C8"/>
    <w:lvl w:ilvl="0" w:tplc="B3684E26">
      <w:start w:val="1"/>
      <w:numFmt w:val="decimal"/>
      <w:lvlText w:val="%1."/>
      <w:lvlJc w:val="left"/>
      <w:pPr>
        <w:ind w:left="1779" w:hanging="360"/>
      </w:pPr>
      <w:rPr>
        <w:rFonts w:ascii="Calibri" w:eastAsia="Calibri" w:hAnsi="Calibri" w:cs="Calibri" w:hint="default"/>
        <w:b/>
        <w:bCs/>
        <w:color w:val="4F81BC"/>
        <w:spacing w:val="-1"/>
        <w:w w:val="99"/>
        <w:sz w:val="32"/>
        <w:szCs w:val="32"/>
        <w:lang w:val="en-US" w:eastAsia="en-US" w:bidi="en-US"/>
      </w:rPr>
    </w:lvl>
    <w:lvl w:ilvl="1" w:tplc="862CDAAC">
      <w:numFmt w:val="bullet"/>
      <w:lvlText w:val=""/>
      <w:lvlJc w:val="left"/>
      <w:pPr>
        <w:ind w:left="2160" w:hanging="360"/>
      </w:pPr>
      <w:rPr>
        <w:rFonts w:ascii="Wingdings" w:eastAsia="Wingdings" w:hAnsi="Wingdings" w:cs="Wingdings" w:hint="default"/>
        <w:w w:val="100"/>
        <w:sz w:val="24"/>
        <w:szCs w:val="24"/>
        <w:lang w:val="en-US" w:eastAsia="en-US" w:bidi="en-US"/>
      </w:rPr>
    </w:lvl>
    <w:lvl w:ilvl="2" w:tplc="AD6C822C">
      <w:numFmt w:val="bullet"/>
      <w:lvlText w:val="•"/>
      <w:lvlJc w:val="left"/>
      <w:pPr>
        <w:ind w:left="2520" w:hanging="360"/>
      </w:pPr>
      <w:rPr>
        <w:rFonts w:hint="default"/>
        <w:lang w:val="en-US" w:eastAsia="en-US" w:bidi="en-US"/>
      </w:rPr>
    </w:lvl>
    <w:lvl w:ilvl="3" w:tplc="4F444F10">
      <w:numFmt w:val="bullet"/>
      <w:lvlText w:val="•"/>
      <w:lvlJc w:val="left"/>
      <w:pPr>
        <w:ind w:left="3693" w:hanging="360"/>
      </w:pPr>
      <w:rPr>
        <w:rFonts w:hint="default"/>
        <w:lang w:val="en-US" w:eastAsia="en-US" w:bidi="en-US"/>
      </w:rPr>
    </w:lvl>
    <w:lvl w:ilvl="4" w:tplc="9B5A5110">
      <w:numFmt w:val="bullet"/>
      <w:lvlText w:val="•"/>
      <w:lvlJc w:val="left"/>
      <w:pPr>
        <w:ind w:left="4866" w:hanging="360"/>
      </w:pPr>
      <w:rPr>
        <w:rFonts w:hint="default"/>
        <w:lang w:val="en-US" w:eastAsia="en-US" w:bidi="en-US"/>
      </w:rPr>
    </w:lvl>
    <w:lvl w:ilvl="5" w:tplc="3460B1A6">
      <w:numFmt w:val="bullet"/>
      <w:lvlText w:val="•"/>
      <w:lvlJc w:val="left"/>
      <w:pPr>
        <w:ind w:left="6039" w:hanging="360"/>
      </w:pPr>
      <w:rPr>
        <w:rFonts w:hint="default"/>
        <w:lang w:val="en-US" w:eastAsia="en-US" w:bidi="en-US"/>
      </w:rPr>
    </w:lvl>
    <w:lvl w:ilvl="6" w:tplc="CA468008">
      <w:numFmt w:val="bullet"/>
      <w:lvlText w:val="•"/>
      <w:lvlJc w:val="left"/>
      <w:pPr>
        <w:ind w:left="7213" w:hanging="360"/>
      </w:pPr>
      <w:rPr>
        <w:rFonts w:hint="default"/>
        <w:lang w:val="en-US" w:eastAsia="en-US" w:bidi="en-US"/>
      </w:rPr>
    </w:lvl>
    <w:lvl w:ilvl="7" w:tplc="554E0D22">
      <w:numFmt w:val="bullet"/>
      <w:lvlText w:val="•"/>
      <w:lvlJc w:val="left"/>
      <w:pPr>
        <w:ind w:left="8386" w:hanging="360"/>
      </w:pPr>
      <w:rPr>
        <w:rFonts w:hint="default"/>
        <w:lang w:val="en-US" w:eastAsia="en-US" w:bidi="en-US"/>
      </w:rPr>
    </w:lvl>
    <w:lvl w:ilvl="8" w:tplc="27E60138">
      <w:numFmt w:val="bullet"/>
      <w:lvlText w:val="•"/>
      <w:lvlJc w:val="left"/>
      <w:pPr>
        <w:ind w:left="9559"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31785"/>
    <w:rsid w:val="00035E41"/>
    <w:rsid w:val="00050DE9"/>
    <w:rsid w:val="000B30A0"/>
    <w:rsid w:val="004C455B"/>
    <w:rsid w:val="00931785"/>
    <w:rsid w:val="00B90ABE"/>
    <w:rsid w:val="00F3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2A552ED"/>
  <w15:docId w15:val="{A3881F2F-4097-4E1E-BF2B-E48B00E8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800" w:hanging="361"/>
      <w:outlineLvl w:val="0"/>
    </w:pPr>
    <w:rPr>
      <w:b/>
      <w:bCs/>
      <w:sz w:val="32"/>
      <w:szCs w:val="32"/>
    </w:rPr>
  </w:style>
  <w:style w:type="paragraph" w:styleId="Heading2">
    <w:name w:val="heading 2"/>
    <w:basedOn w:val="Normal"/>
    <w:uiPriority w:val="1"/>
    <w:qFormat/>
    <w:pPr>
      <w:ind w:left="144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1879" w:hanging="44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ind w:left="1896"/>
    </w:pPr>
    <w:rPr>
      <w:b/>
      <w:bCs/>
      <w:sz w:val="56"/>
      <w:szCs w:val="56"/>
    </w:rPr>
  </w:style>
  <w:style w:type="paragraph" w:styleId="ListParagraph">
    <w:name w:val="List Paragraph"/>
    <w:basedOn w:val="Normal"/>
    <w:uiPriority w:val="1"/>
    <w:qFormat/>
    <w:pPr>
      <w:ind w:left="216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35E41"/>
    <w:rPr>
      <w:sz w:val="16"/>
      <w:szCs w:val="16"/>
    </w:rPr>
  </w:style>
  <w:style w:type="paragraph" w:styleId="CommentText">
    <w:name w:val="annotation text"/>
    <w:basedOn w:val="Normal"/>
    <w:link w:val="CommentTextChar"/>
    <w:uiPriority w:val="99"/>
    <w:semiHidden/>
    <w:unhideWhenUsed/>
    <w:rsid w:val="00035E41"/>
    <w:rPr>
      <w:sz w:val="20"/>
      <w:szCs w:val="20"/>
    </w:rPr>
  </w:style>
  <w:style w:type="character" w:customStyle="1" w:styleId="CommentTextChar">
    <w:name w:val="Comment Text Char"/>
    <w:basedOn w:val="DefaultParagraphFont"/>
    <w:link w:val="CommentText"/>
    <w:uiPriority w:val="99"/>
    <w:semiHidden/>
    <w:rsid w:val="00035E4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35E41"/>
    <w:rPr>
      <w:b/>
      <w:bCs/>
    </w:rPr>
  </w:style>
  <w:style w:type="character" w:customStyle="1" w:styleId="CommentSubjectChar">
    <w:name w:val="Comment Subject Char"/>
    <w:basedOn w:val="CommentTextChar"/>
    <w:link w:val="CommentSubject"/>
    <w:uiPriority w:val="99"/>
    <w:semiHidden/>
    <w:rsid w:val="00035E4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035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E41"/>
    <w:rPr>
      <w:rFonts w:ascii="Segoe UI" w:eastAsia="Calibri" w:hAnsi="Segoe UI" w:cs="Segoe UI"/>
      <w:sz w:val="18"/>
      <w:szCs w:val="18"/>
      <w:lang w:bidi="en-US"/>
    </w:rPr>
  </w:style>
  <w:style w:type="character" w:styleId="Hyperlink">
    <w:name w:val="Hyperlink"/>
    <w:basedOn w:val="DefaultParagraphFont"/>
    <w:uiPriority w:val="99"/>
    <w:unhideWhenUsed/>
    <w:rsid w:val="004C4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cid:image004.png@01D81838.559E42E0" TargetMode="External"/><Relationship Id="rId13" Type="http://schemas.openxmlformats.org/officeDocument/2006/relationships/hyperlink" Target="https://www.cps.gov.uk/publications/docs/foi_disclosures/2013/disclosure_22_supporting_data_2.pdf" TargetMode="External"/><Relationship Id="rId18" Type="http://schemas.openxmlformats.org/officeDocument/2006/relationships/hyperlink" Target="http://businesscrimeblog.practicallaw.com/the-home-affairs-select-committee-propose-radical-reforms-to-the-proceeds-of-crime-regi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uploads/system/uploads/attachment_data/file/488531/POCA_2002_v2.0EXT_clean.pdf" TargetMode="External"/><Relationship Id="rId17" Type="http://schemas.openxmlformats.org/officeDocument/2006/relationships/hyperlink" Target="http://businesscrimeblog.practicallaw.com/the-home-affairs-select-committee-propose-radical-reforms-to-the-proceeds-of-crime-regime/" TargetMode="External"/><Relationship Id="rId2" Type="http://schemas.openxmlformats.org/officeDocument/2006/relationships/styles" Target="styles.xml"/><Relationship Id="rId16" Type="http://schemas.openxmlformats.org/officeDocument/2006/relationships/hyperlink" Target="http://www.publications.parliament.uk/pa/cm201314/cmselect/cmpubacc/942/94202.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488531/POCA_2002_v2.0EXT_clean.pdf" TargetMode="External"/><Relationship Id="rId5" Type="http://schemas.openxmlformats.org/officeDocument/2006/relationships/footnotes" Target="footnotes.xml"/><Relationship Id="rId15" Type="http://schemas.openxmlformats.org/officeDocument/2006/relationships/hyperlink" Target="http://www.publications.parliament.uk/pa/cm201314/cmselect/cmpubacc/942/94202.htm" TargetMode="External"/><Relationship Id="rId10" Type="http://schemas.openxmlformats.org/officeDocument/2006/relationships/hyperlink" Target="http://www.publications.parliament.uk/pa/cm201617/cmselect/cmhaff/25/25.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ps.gov.uk/publications/docs/foi_disclosures/2013/disclosure_22_supporting_data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FEES AND CHARGES</vt:lpstr>
    </vt:vector>
  </TitlesOfParts>
  <Company>West Berkshire Council</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AND CHARGES</dc:title>
  <dc:subject>Guidance for officers in how to apply fees and charges</dc:subject>
  <dc:creator>panstey</dc:creator>
  <cp:lastModifiedBy>Lisa Norgate-Barnes</cp:lastModifiedBy>
  <cp:revision>2</cp:revision>
  <dcterms:created xsi:type="dcterms:W3CDTF">2023-03-09T15:35:00Z</dcterms:created>
  <dcterms:modified xsi:type="dcterms:W3CDTF">2023-03-09T15:35:00Z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2013</vt:lpwstr>
  </property>
  <property fmtid="{D5CDD505-2E9C-101B-9397-08002B2CF9AE}" pid="4" name="LastSaved">
    <vt:filetime>2023-03-07T00:00:00Z</vt:filetime>
  </property>
</Properties>
</file>